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D990F" w14:textId="1B612518" w:rsidR="00C23534" w:rsidRPr="003C703E" w:rsidRDefault="00C23534" w:rsidP="00C23534">
      <w:pPr>
        <w:overflowPunct w:val="0"/>
        <w:spacing w:line="276" w:lineRule="auto"/>
        <w:rPr>
          <w:rFonts w:ascii="Gill Sans MT" w:eastAsia="Calibri" w:hAnsi="Gill Sans MT" w:cs="Calibri"/>
          <w:sz w:val="20"/>
          <w:szCs w:val="20"/>
        </w:rPr>
      </w:pPr>
      <w:r w:rsidRPr="00C23534">
        <w:rPr>
          <w:rFonts w:ascii="Gill Sans MT" w:eastAsia="Calibri" w:hAnsi="Gill Sans MT" w:cs="Calibri"/>
          <w:b/>
          <w:bCs/>
        </w:rPr>
        <w:t>Uitspraak Geschillencommissie Financiële Dienstverlening</w:t>
      </w:r>
      <w:r w:rsidRPr="003C703E">
        <w:rPr>
          <w:rFonts w:ascii="Gill Sans MT" w:eastAsia="Calibri" w:hAnsi="Gill Sans MT" w:cs="Calibri"/>
          <w:b/>
          <w:bCs/>
        </w:rPr>
        <w:t xml:space="preserve"> nr. 2019-520</w:t>
      </w:r>
      <w:r w:rsidRPr="003C703E">
        <w:rPr>
          <w:rFonts w:ascii="Gill Sans MT" w:eastAsia="Calibri" w:hAnsi="Gill Sans MT" w:cs="Calibri"/>
          <w:b/>
          <w:bCs/>
        </w:rPr>
        <w:br/>
        <w:t>(</w:t>
      </w:r>
      <w:r w:rsidRPr="003C703E">
        <w:rPr>
          <w:rFonts w:ascii="Gill Sans MT" w:eastAsia="Calibri" w:hAnsi="Gill Sans MT" w:cs="Calibri"/>
          <w:b/>
          <w:bCs/>
        </w:rPr>
        <w:t>prof. mr. M.L. Hendrikse, voorzitte</w:t>
      </w:r>
      <w:r w:rsidRPr="003C703E">
        <w:rPr>
          <w:rFonts w:ascii="Gill Sans MT" w:eastAsia="Calibri" w:hAnsi="Gill Sans MT" w:cs="Calibri"/>
          <w:b/>
          <w:bCs/>
        </w:rPr>
        <w:t xml:space="preserve">r en </w:t>
      </w:r>
      <w:r w:rsidRPr="003C703E">
        <w:rPr>
          <w:rFonts w:ascii="Gill Sans MT" w:eastAsia="Calibri" w:hAnsi="Gill Sans MT" w:cs="Calibri"/>
          <w:b/>
          <w:bCs/>
        </w:rPr>
        <w:t>mr. dr. drs. H.M.B. Brouwer</w:t>
      </w:r>
      <w:r w:rsidRPr="003C703E">
        <w:rPr>
          <w:rFonts w:ascii="Gill Sans MT" w:eastAsia="Calibri" w:hAnsi="Gill Sans MT" w:cs="Calibri"/>
          <w:b/>
          <w:bCs/>
        </w:rPr>
        <w:t xml:space="preserve">, </w:t>
      </w:r>
      <w:r w:rsidRPr="003C703E">
        <w:rPr>
          <w:rFonts w:ascii="Gill Sans MT" w:eastAsia="Calibri" w:hAnsi="Gill Sans MT" w:cs="Calibri"/>
          <w:b/>
          <w:bCs/>
        </w:rPr>
        <w:t>secretaris</w:t>
      </w:r>
      <w:r w:rsidRPr="003C703E">
        <w:rPr>
          <w:rFonts w:ascii="Gill Sans MT" w:eastAsia="Calibri" w:hAnsi="Gill Sans MT" w:cs="Calibri"/>
          <w:b/>
          <w:bCs/>
        </w:rPr>
        <w:t>)</w:t>
      </w:r>
      <w:r w:rsidRPr="003C703E">
        <w:rPr>
          <w:rFonts w:ascii="Gill Sans MT" w:eastAsia="Calibri" w:hAnsi="Gill Sans MT" w:cs="Calibri"/>
          <w:b/>
          <w:bCs/>
        </w:rPr>
        <w:br/>
      </w:r>
      <w:r w:rsidRPr="003C703E">
        <w:rPr>
          <w:rFonts w:ascii="Gill Sans MT" w:eastAsia="Calibri" w:hAnsi="Gill Sans MT" w:cs="Calibri"/>
          <w:b/>
          <w:bCs/>
        </w:rPr>
        <w:br/>
      </w:r>
      <w:r w:rsidRPr="003C703E">
        <w:rPr>
          <w:rFonts w:ascii="Gill Sans MT" w:eastAsia="Calibri" w:hAnsi="Gill Sans MT" w:cs="Calibri"/>
          <w:sz w:val="20"/>
          <w:szCs w:val="20"/>
        </w:rPr>
        <w:t>Klacht ontvangen op</w:t>
      </w:r>
      <w:r w:rsidRPr="003C703E">
        <w:rPr>
          <w:rFonts w:ascii="Gill Sans MT" w:eastAsia="Calibri" w:hAnsi="Gill Sans MT" w:cs="Calibri"/>
          <w:sz w:val="20"/>
          <w:szCs w:val="20"/>
        </w:rPr>
        <w:tab/>
      </w:r>
      <w:r w:rsidRPr="003C703E">
        <w:rPr>
          <w:rFonts w:ascii="Gill Sans MT" w:eastAsia="Calibri" w:hAnsi="Gill Sans MT" w:cs="Calibri"/>
          <w:sz w:val="20"/>
          <w:szCs w:val="20"/>
        </w:rPr>
        <w:t>:</w:t>
      </w:r>
      <w:r w:rsidRPr="003C703E">
        <w:rPr>
          <w:rFonts w:ascii="Gill Sans MT" w:eastAsia="Calibri" w:hAnsi="Gill Sans MT" w:cs="Calibri"/>
          <w:sz w:val="20"/>
          <w:szCs w:val="20"/>
        </w:rPr>
        <w:t xml:space="preserve"> </w:t>
      </w:r>
      <w:r w:rsidRPr="003C703E">
        <w:rPr>
          <w:rFonts w:ascii="Gill Sans MT" w:eastAsia="Calibri" w:hAnsi="Gill Sans MT" w:cs="Calibri"/>
          <w:sz w:val="20"/>
          <w:szCs w:val="20"/>
        </w:rPr>
        <w:t>6 december 2018</w:t>
      </w:r>
    </w:p>
    <w:p w14:paraId="3165805C" w14:textId="1DF49F51" w:rsidR="00C23534" w:rsidRPr="003C703E" w:rsidRDefault="00C23534" w:rsidP="00C23534">
      <w:pPr>
        <w:overflowPunct w:val="0"/>
        <w:spacing w:line="276" w:lineRule="auto"/>
        <w:rPr>
          <w:rFonts w:ascii="Gill Sans MT" w:eastAsia="Calibri" w:hAnsi="Gill Sans MT" w:cs="Calibri"/>
          <w:sz w:val="20"/>
          <w:szCs w:val="20"/>
        </w:rPr>
      </w:pPr>
      <w:r w:rsidRPr="003C703E">
        <w:rPr>
          <w:rFonts w:ascii="Gill Sans MT" w:eastAsia="Calibri" w:hAnsi="Gill Sans MT" w:cs="Calibri"/>
          <w:sz w:val="20"/>
          <w:szCs w:val="20"/>
        </w:rPr>
        <w:t>Ingediend door</w:t>
      </w:r>
      <w:r w:rsidRPr="003C703E">
        <w:rPr>
          <w:rFonts w:ascii="Gill Sans MT" w:eastAsia="Calibri" w:hAnsi="Gill Sans MT" w:cs="Calibri"/>
          <w:sz w:val="20"/>
          <w:szCs w:val="20"/>
        </w:rPr>
        <w:tab/>
      </w:r>
      <w:r w:rsidRPr="003C703E">
        <w:rPr>
          <w:rFonts w:ascii="Gill Sans MT" w:eastAsia="Calibri" w:hAnsi="Gill Sans MT" w:cs="Calibri"/>
          <w:sz w:val="20"/>
          <w:szCs w:val="20"/>
        </w:rPr>
        <w:tab/>
      </w:r>
      <w:r w:rsidRPr="003C703E">
        <w:rPr>
          <w:rFonts w:ascii="Gill Sans MT" w:eastAsia="Calibri" w:hAnsi="Gill Sans MT" w:cs="Calibri"/>
          <w:sz w:val="20"/>
          <w:szCs w:val="20"/>
        </w:rPr>
        <w:t>:</w:t>
      </w:r>
      <w:r w:rsidRPr="003C703E">
        <w:rPr>
          <w:rFonts w:ascii="Gill Sans MT" w:eastAsia="Calibri" w:hAnsi="Gill Sans MT" w:cs="Calibri"/>
          <w:sz w:val="20"/>
          <w:szCs w:val="20"/>
        </w:rPr>
        <w:t xml:space="preserve"> </w:t>
      </w:r>
      <w:r w:rsidRPr="003C703E">
        <w:rPr>
          <w:rFonts w:ascii="Gill Sans MT" w:eastAsia="Calibri" w:hAnsi="Gill Sans MT" w:cs="Calibri"/>
          <w:sz w:val="20"/>
          <w:szCs w:val="20"/>
        </w:rPr>
        <w:t>Consument</w:t>
      </w:r>
    </w:p>
    <w:p w14:paraId="1DFA0DD5" w14:textId="7DA3BB0B" w:rsidR="00C23534" w:rsidRPr="003C703E" w:rsidRDefault="00C23534" w:rsidP="00C23534">
      <w:pPr>
        <w:overflowPunct w:val="0"/>
        <w:spacing w:line="276" w:lineRule="auto"/>
        <w:rPr>
          <w:rFonts w:ascii="Gill Sans MT" w:eastAsia="Calibri" w:hAnsi="Gill Sans MT" w:cs="Calibri"/>
          <w:sz w:val="20"/>
          <w:szCs w:val="20"/>
        </w:rPr>
      </w:pPr>
      <w:r w:rsidRPr="003C703E">
        <w:rPr>
          <w:rFonts w:ascii="Gill Sans MT" w:eastAsia="Calibri" w:hAnsi="Gill Sans MT" w:cs="Calibri"/>
          <w:sz w:val="20"/>
          <w:szCs w:val="20"/>
        </w:rPr>
        <w:t>Tegen</w:t>
      </w:r>
      <w:r w:rsidRPr="003C703E">
        <w:rPr>
          <w:rFonts w:ascii="Gill Sans MT" w:eastAsia="Calibri" w:hAnsi="Gill Sans MT" w:cs="Calibri"/>
          <w:sz w:val="20"/>
          <w:szCs w:val="20"/>
        </w:rPr>
        <w:tab/>
      </w:r>
      <w:r w:rsidRPr="003C703E">
        <w:rPr>
          <w:rFonts w:ascii="Gill Sans MT" w:eastAsia="Calibri" w:hAnsi="Gill Sans MT" w:cs="Calibri"/>
          <w:sz w:val="20"/>
          <w:szCs w:val="20"/>
        </w:rPr>
        <w:tab/>
      </w:r>
      <w:r w:rsidRPr="003C703E">
        <w:rPr>
          <w:rFonts w:ascii="Gill Sans MT" w:eastAsia="Calibri" w:hAnsi="Gill Sans MT" w:cs="Calibri"/>
          <w:sz w:val="20"/>
          <w:szCs w:val="20"/>
        </w:rPr>
        <w:tab/>
      </w:r>
      <w:r w:rsidRPr="003C703E">
        <w:rPr>
          <w:rFonts w:ascii="Gill Sans MT" w:eastAsia="Calibri" w:hAnsi="Gill Sans MT" w:cs="Calibri"/>
          <w:sz w:val="20"/>
          <w:szCs w:val="20"/>
        </w:rPr>
        <w:t>:</w:t>
      </w:r>
      <w:r w:rsidRPr="003C703E">
        <w:rPr>
          <w:rFonts w:ascii="Gill Sans MT" w:eastAsia="Calibri" w:hAnsi="Gill Sans MT" w:cs="Calibri"/>
          <w:sz w:val="20"/>
          <w:szCs w:val="20"/>
        </w:rPr>
        <w:t xml:space="preserve"> </w:t>
      </w:r>
      <w:r w:rsidRPr="003C703E">
        <w:rPr>
          <w:rFonts w:ascii="Gill Sans MT" w:eastAsia="Calibri" w:hAnsi="Gill Sans MT" w:cs="Calibri"/>
          <w:sz w:val="20"/>
          <w:szCs w:val="20"/>
        </w:rPr>
        <w:t>ABN AMRO Schadeverzekering N.V., gevestigd te Zwolle, verder te noemen Verzekeraar</w:t>
      </w:r>
    </w:p>
    <w:p w14:paraId="1CF17800" w14:textId="42D0FD07" w:rsidR="00C23534" w:rsidRPr="003C703E" w:rsidRDefault="00C23534" w:rsidP="00C23534">
      <w:pPr>
        <w:overflowPunct w:val="0"/>
        <w:spacing w:line="276" w:lineRule="auto"/>
        <w:rPr>
          <w:rFonts w:ascii="Gill Sans MT" w:eastAsia="Calibri" w:hAnsi="Gill Sans MT" w:cs="Calibri"/>
          <w:sz w:val="20"/>
          <w:szCs w:val="20"/>
        </w:rPr>
      </w:pPr>
      <w:r w:rsidRPr="003C703E">
        <w:rPr>
          <w:rFonts w:ascii="Gill Sans MT" w:eastAsia="Calibri" w:hAnsi="Gill Sans MT" w:cs="Calibri"/>
          <w:sz w:val="20"/>
          <w:szCs w:val="20"/>
        </w:rPr>
        <w:t>Datum uitspraak</w:t>
      </w:r>
      <w:r w:rsidRPr="003C703E">
        <w:rPr>
          <w:rFonts w:ascii="Gill Sans MT" w:eastAsia="Calibri" w:hAnsi="Gill Sans MT" w:cs="Calibri"/>
          <w:sz w:val="20"/>
          <w:szCs w:val="20"/>
        </w:rPr>
        <w:tab/>
      </w:r>
      <w:r w:rsidRPr="003C703E">
        <w:rPr>
          <w:rFonts w:ascii="Gill Sans MT" w:eastAsia="Calibri" w:hAnsi="Gill Sans MT" w:cs="Calibri"/>
          <w:sz w:val="20"/>
          <w:szCs w:val="20"/>
        </w:rPr>
        <w:tab/>
      </w:r>
      <w:r w:rsidRPr="003C703E">
        <w:rPr>
          <w:rFonts w:ascii="Gill Sans MT" w:eastAsia="Calibri" w:hAnsi="Gill Sans MT" w:cs="Calibri"/>
          <w:sz w:val="20"/>
          <w:szCs w:val="20"/>
        </w:rPr>
        <w:t>:</w:t>
      </w:r>
      <w:r w:rsidRPr="003C703E">
        <w:rPr>
          <w:rFonts w:ascii="Gill Sans MT" w:eastAsia="Calibri" w:hAnsi="Gill Sans MT" w:cs="Calibri"/>
          <w:sz w:val="20"/>
          <w:szCs w:val="20"/>
        </w:rPr>
        <w:t xml:space="preserve"> </w:t>
      </w:r>
      <w:r w:rsidRPr="003C703E">
        <w:rPr>
          <w:rFonts w:ascii="Gill Sans MT" w:eastAsia="Calibri" w:hAnsi="Gill Sans MT" w:cs="Calibri"/>
          <w:sz w:val="20"/>
          <w:szCs w:val="20"/>
        </w:rPr>
        <w:t>22 juli 2019</w:t>
      </w:r>
    </w:p>
    <w:p w14:paraId="5C93A9EB" w14:textId="70A57F6A" w:rsidR="00C23534" w:rsidRPr="003C703E" w:rsidRDefault="00C23534" w:rsidP="00C23534">
      <w:pPr>
        <w:overflowPunct w:val="0"/>
        <w:spacing w:line="276" w:lineRule="auto"/>
        <w:rPr>
          <w:rFonts w:ascii="Gill Sans MT" w:eastAsia="Calibri" w:hAnsi="Gill Sans MT" w:cs="Calibri"/>
          <w:sz w:val="20"/>
          <w:szCs w:val="20"/>
        </w:rPr>
      </w:pPr>
      <w:r w:rsidRPr="003C703E">
        <w:rPr>
          <w:rFonts w:ascii="Gill Sans MT" w:eastAsia="Calibri" w:hAnsi="Gill Sans MT" w:cs="Calibri"/>
          <w:sz w:val="20"/>
          <w:szCs w:val="20"/>
        </w:rPr>
        <w:t>Aard uitspraak</w:t>
      </w:r>
      <w:r w:rsidRPr="003C703E">
        <w:rPr>
          <w:rFonts w:ascii="Gill Sans MT" w:eastAsia="Calibri" w:hAnsi="Gill Sans MT" w:cs="Calibri"/>
          <w:sz w:val="20"/>
          <w:szCs w:val="20"/>
        </w:rPr>
        <w:tab/>
      </w:r>
      <w:r w:rsidRPr="003C703E">
        <w:rPr>
          <w:rFonts w:ascii="Gill Sans MT" w:eastAsia="Calibri" w:hAnsi="Gill Sans MT" w:cs="Calibri"/>
          <w:sz w:val="20"/>
          <w:szCs w:val="20"/>
        </w:rPr>
        <w:tab/>
      </w:r>
      <w:r w:rsidRPr="003C703E">
        <w:rPr>
          <w:rFonts w:ascii="Gill Sans MT" w:eastAsia="Calibri" w:hAnsi="Gill Sans MT" w:cs="Calibri"/>
          <w:sz w:val="20"/>
          <w:szCs w:val="20"/>
        </w:rPr>
        <w:t>:</w:t>
      </w:r>
      <w:r w:rsidRPr="003C703E">
        <w:rPr>
          <w:rFonts w:ascii="Gill Sans MT" w:eastAsia="Calibri" w:hAnsi="Gill Sans MT" w:cs="Calibri"/>
          <w:sz w:val="20"/>
          <w:szCs w:val="20"/>
        </w:rPr>
        <w:t xml:space="preserve"> </w:t>
      </w:r>
      <w:r w:rsidRPr="003C703E">
        <w:rPr>
          <w:rFonts w:ascii="Gill Sans MT" w:eastAsia="Calibri" w:hAnsi="Gill Sans MT" w:cs="Calibri"/>
          <w:sz w:val="20"/>
          <w:szCs w:val="20"/>
        </w:rPr>
        <w:t>Niet-bindend advies</w:t>
      </w:r>
    </w:p>
    <w:p w14:paraId="2A4B9F7C" w14:textId="77777777" w:rsidR="00C23534" w:rsidRPr="003C703E" w:rsidRDefault="00C23534" w:rsidP="00C23534">
      <w:pPr>
        <w:overflowPunct w:val="0"/>
        <w:spacing w:line="276" w:lineRule="auto"/>
        <w:rPr>
          <w:rFonts w:ascii="Gill Sans MT" w:eastAsia="Calibri" w:hAnsi="Gill Sans MT" w:cs="Calibri"/>
          <w:b/>
          <w:bCs/>
        </w:rPr>
      </w:pPr>
    </w:p>
    <w:p w14:paraId="48C5015F" w14:textId="77777777" w:rsidR="00C23534" w:rsidRPr="003C703E" w:rsidRDefault="00C23534" w:rsidP="00C23534">
      <w:pPr>
        <w:overflowPunct w:val="0"/>
        <w:spacing w:line="276" w:lineRule="auto"/>
        <w:rPr>
          <w:rFonts w:ascii="Gill Sans MT" w:eastAsia="Calibri" w:hAnsi="Gill Sans MT" w:cs="Calibri"/>
          <w:b/>
          <w:bCs/>
        </w:rPr>
      </w:pPr>
      <w:r w:rsidRPr="003C703E">
        <w:rPr>
          <w:rFonts w:ascii="Gill Sans MT" w:eastAsia="Calibri" w:hAnsi="Gill Sans MT" w:cs="Calibri"/>
          <w:b/>
          <w:bCs/>
        </w:rPr>
        <w:t>Samenvatting</w:t>
      </w:r>
    </w:p>
    <w:p w14:paraId="4C5B1878" w14:textId="77777777" w:rsidR="00C23534" w:rsidRPr="003C703E" w:rsidRDefault="00C23534" w:rsidP="00C23534">
      <w:pPr>
        <w:overflowPunct w:val="0"/>
        <w:spacing w:line="276" w:lineRule="auto"/>
        <w:rPr>
          <w:rFonts w:ascii="Gill Sans MT" w:eastAsia="Calibri" w:hAnsi="Gill Sans MT" w:cs="Calibri"/>
          <w:b/>
          <w:bCs/>
        </w:rPr>
      </w:pPr>
    </w:p>
    <w:p w14:paraId="0A6D0291" w14:textId="37AF8A85" w:rsidR="00C23534" w:rsidRPr="00C23534" w:rsidRDefault="00C23534" w:rsidP="00C23534">
      <w:pPr>
        <w:overflowPunct w:val="0"/>
        <w:spacing w:line="276" w:lineRule="auto"/>
        <w:rPr>
          <w:rFonts w:ascii="Gill Sans MT" w:eastAsia="Calibri" w:hAnsi="Gill Sans MT" w:cs="Calibri"/>
        </w:rPr>
      </w:pPr>
      <w:r w:rsidRPr="003C703E">
        <w:rPr>
          <w:rFonts w:ascii="Gill Sans MT" w:eastAsia="Calibri" w:hAnsi="Gill Sans MT" w:cs="Calibri"/>
        </w:rPr>
        <w:t>Consument heeft gestolen bagage geclaimd op zijn reisverzekering. Deze biedt gedeeltelijk dekking. Het waardevolle sporthorloge alsmede het vervangen van de sloten waartoe de verdwenen sleutels behoren, is niet uitgekeerd door Verzekeraar. Naar het oordeel van de  Commissie heeft Verzekeraar op dit punt uitkering mogen weigeren. In de Voorwaarden is reisbagage uitdrukkelijk uitgesloten van dekking als het een waardevolle zaak betreft. Wat hieronder moet worden verstaan, staat expliciet in de Voorwaarden genoemd. Ook het vervangen van de sloten komt niet voor vergoeding in aanmerking omdat dit geen reisbagage betreft noch onder de dekking van extra kosten valt.</w:t>
      </w:r>
      <w:r w:rsidRPr="003C703E">
        <w:rPr>
          <w:rFonts w:ascii="Gill Sans MT" w:eastAsia="Calibri" w:hAnsi="Gill Sans MT" w:cs="Calibri"/>
        </w:rPr>
        <w:tab/>
      </w:r>
    </w:p>
    <w:p w14:paraId="1DB265B4" w14:textId="77777777" w:rsidR="00C23534" w:rsidRPr="00C23534" w:rsidRDefault="00C23534" w:rsidP="00C23534">
      <w:pPr>
        <w:widowControl w:val="0"/>
        <w:overflowPunct w:val="0"/>
        <w:spacing w:line="276" w:lineRule="auto"/>
        <w:rPr>
          <w:rFonts w:ascii="Gill Sans MT" w:eastAsia="Calibri" w:hAnsi="Gill Sans MT" w:cs="Calibri"/>
          <w:szCs w:val="22"/>
        </w:rPr>
      </w:pPr>
    </w:p>
    <w:p w14:paraId="5FF47039" w14:textId="4C90976E" w:rsidR="00C23534" w:rsidRPr="00C23534" w:rsidRDefault="00C23534" w:rsidP="00C23534">
      <w:pPr>
        <w:numPr>
          <w:ilvl w:val="0"/>
          <w:numId w:val="13"/>
        </w:numPr>
        <w:overflowPunct w:val="0"/>
        <w:spacing w:line="276" w:lineRule="auto"/>
        <w:rPr>
          <w:rFonts w:ascii="Gill Sans MT" w:eastAsia="Gill Sans MT" w:hAnsi="Gill Sans MT" w:cs="Gill Sans MT"/>
          <w:b/>
          <w:bCs/>
          <w:u w:color="000000"/>
        </w:rPr>
      </w:pPr>
      <w:r w:rsidRPr="00C23534">
        <w:rPr>
          <w:rFonts w:ascii="Gill Sans MT" w:eastAsia="Gill Sans MT" w:hAnsi="Gill Sans MT" w:cs="Gill Sans MT"/>
          <w:b/>
          <w:bCs/>
          <w:u w:color="000000"/>
        </w:rPr>
        <w:t>Procesverloop</w:t>
      </w:r>
      <w:r w:rsidRPr="003C703E">
        <w:rPr>
          <w:rFonts w:ascii="Gill Sans MT" w:eastAsia="Gill Sans MT" w:hAnsi="Gill Sans MT" w:cs="Gill Sans MT"/>
          <w:b/>
          <w:bCs/>
          <w:u w:color="000000"/>
        </w:rPr>
        <w:br/>
      </w:r>
      <w:r w:rsidRPr="00C23534">
        <w:rPr>
          <w:rFonts w:ascii="Gill Sans MT" w:eastAsia="Gill Sans MT" w:hAnsi="Gill Sans MT" w:cs="Gill Sans MT"/>
          <w:b/>
          <w:bCs/>
          <w:u w:color="000000"/>
        </w:rPr>
        <w:t xml:space="preserve"> </w:t>
      </w:r>
    </w:p>
    <w:p w14:paraId="3F821FA3" w14:textId="77777777" w:rsidR="00C23534" w:rsidRPr="00C23534" w:rsidRDefault="00C23534" w:rsidP="00C23534">
      <w:pPr>
        <w:overflowPunct w:val="0"/>
        <w:spacing w:line="276" w:lineRule="auto"/>
        <w:rPr>
          <w:rFonts w:ascii="Gill Sans MT" w:eastAsia="Calibri" w:hAnsi="Gill Sans MT" w:cs="Calibri"/>
          <w:szCs w:val="22"/>
        </w:rPr>
      </w:pPr>
      <w:r w:rsidRPr="00C23534">
        <w:rPr>
          <w:rFonts w:ascii="Gill Sans MT" w:eastAsia="Calibri" w:hAnsi="Gill Sans MT" w:cs="Calibri"/>
          <w:szCs w:val="22"/>
        </w:rPr>
        <w:t xml:space="preserve">De Commissie beslist met inachtneming van haar Reglement en op basis van de volgende stukken: </w:t>
      </w:r>
    </w:p>
    <w:p w14:paraId="7E047D63" w14:textId="77777777" w:rsidR="00C23534" w:rsidRPr="00C23534" w:rsidRDefault="00C23534" w:rsidP="00C23534">
      <w:pPr>
        <w:overflowPunct w:val="0"/>
        <w:spacing w:line="276" w:lineRule="auto"/>
        <w:rPr>
          <w:rFonts w:ascii="Gill Sans MT" w:eastAsia="Calibri" w:hAnsi="Gill Sans MT" w:cs="Calibri"/>
          <w:szCs w:val="22"/>
        </w:rPr>
      </w:pPr>
    </w:p>
    <w:p w14:paraId="0D4B429E" w14:textId="77777777" w:rsidR="00C23534" w:rsidRPr="00C23534" w:rsidRDefault="00C23534" w:rsidP="00C23534">
      <w:pPr>
        <w:numPr>
          <w:ilvl w:val="0"/>
          <w:numId w:val="5"/>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het door Consument (digitaal) ingediende klachtformulier;</w:t>
      </w:r>
    </w:p>
    <w:p w14:paraId="1B47606C" w14:textId="77777777" w:rsidR="00C23534" w:rsidRPr="00C23534" w:rsidRDefault="00C23534" w:rsidP="00C23534">
      <w:pPr>
        <w:numPr>
          <w:ilvl w:val="0"/>
          <w:numId w:val="5"/>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het verweerschrift van Verzekeraar;</w:t>
      </w:r>
    </w:p>
    <w:p w14:paraId="1C4ACB7B" w14:textId="77777777" w:rsidR="00C23534" w:rsidRPr="00C23534" w:rsidRDefault="00C23534" w:rsidP="00C23534">
      <w:pPr>
        <w:numPr>
          <w:ilvl w:val="0"/>
          <w:numId w:val="5"/>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de repliek van Consument;</w:t>
      </w:r>
    </w:p>
    <w:p w14:paraId="7C6CE2A8" w14:textId="77777777" w:rsidR="00C23534" w:rsidRPr="00C23534" w:rsidRDefault="00C23534" w:rsidP="00C23534">
      <w:pPr>
        <w:numPr>
          <w:ilvl w:val="0"/>
          <w:numId w:val="5"/>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de dupliek van Verzekeraar;</w:t>
      </w:r>
      <w:bookmarkStart w:id="0" w:name="_GoBack"/>
      <w:bookmarkEnd w:id="0"/>
    </w:p>
    <w:p w14:paraId="784030FA" w14:textId="77777777" w:rsidR="00C23534" w:rsidRPr="00C23534" w:rsidRDefault="00C23534" w:rsidP="00C23534">
      <w:pPr>
        <w:numPr>
          <w:ilvl w:val="0"/>
          <w:numId w:val="5"/>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 xml:space="preserve">de reactie van Consument op de dupliek. </w:t>
      </w:r>
    </w:p>
    <w:p w14:paraId="16FCAD46" w14:textId="77777777" w:rsidR="00C23534" w:rsidRPr="00C23534" w:rsidRDefault="00C23534" w:rsidP="00C23534">
      <w:pPr>
        <w:overflowPunct w:val="0"/>
        <w:spacing w:line="276" w:lineRule="auto"/>
        <w:rPr>
          <w:rFonts w:ascii="Gill Sans MT" w:eastAsia="Calibri" w:hAnsi="Gill Sans MT" w:cs="Calibri"/>
          <w:szCs w:val="22"/>
        </w:rPr>
      </w:pPr>
    </w:p>
    <w:p w14:paraId="76902733" w14:textId="77777777" w:rsidR="00C23534" w:rsidRPr="00C23534" w:rsidRDefault="00C23534" w:rsidP="00C23534">
      <w:pPr>
        <w:overflowPunct w:val="0"/>
        <w:spacing w:line="276" w:lineRule="auto"/>
        <w:rPr>
          <w:rFonts w:ascii="Gill Sans MT" w:eastAsia="Calibri" w:hAnsi="Gill Sans MT" w:cs="Calibri"/>
          <w:szCs w:val="22"/>
        </w:rPr>
      </w:pPr>
      <w:r w:rsidRPr="00C23534">
        <w:rPr>
          <w:rFonts w:ascii="Gill Sans MT" w:eastAsia="Calibri" w:hAnsi="Gill Sans MT" w:cs="Calibri"/>
          <w:szCs w:val="22"/>
        </w:rPr>
        <w:t>De Commissie stelt vast dat Consument heeft gekozen voor een niet-bindend advies. De uitspraak is daardoor niet-bindend.</w:t>
      </w:r>
    </w:p>
    <w:p w14:paraId="133CC864" w14:textId="77777777" w:rsidR="00C23534" w:rsidRPr="00C23534" w:rsidRDefault="00C23534" w:rsidP="00C23534">
      <w:pPr>
        <w:overflowPunct w:val="0"/>
        <w:spacing w:line="276" w:lineRule="auto"/>
        <w:rPr>
          <w:rFonts w:ascii="Gill Sans MT" w:eastAsia="Calibri" w:hAnsi="Gill Sans MT" w:cs="Calibri"/>
          <w:szCs w:val="22"/>
        </w:rPr>
      </w:pPr>
      <w:r w:rsidRPr="00C23534">
        <w:rPr>
          <w:rFonts w:ascii="Gill Sans MT" w:eastAsia="Calibri" w:hAnsi="Gill Sans MT" w:cs="Calibri"/>
          <w:szCs w:val="22"/>
        </w:rPr>
        <w:t xml:space="preserve"> </w:t>
      </w:r>
    </w:p>
    <w:p w14:paraId="1DE0575B" w14:textId="77777777" w:rsidR="00C23534" w:rsidRPr="00C23534" w:rsidRDefault="00C23534" w:rsidP="00C23534">
      <w:pPr>
        <w:overflowPunct w:val="0"/>
        <w:spacing w:line="276" w:lineRule="auto"/>
        <w:rPr>
          <w:rFonts w:ascii="Gill Sans MT" w:eastAsia="Calibri" w:hAnsi="Gill Sans MT" w:cs="Calibri"/>
          <w:szCs w:val="22"/>
        </w:rPr>
      </w:pPr>
      <w:r w:rsidRPr="00C23534">
        <w:rPr>
          <w:rFonts w:ascii="Gill Sans MT" w:eastAsia="Calibri" w:hAnsi="Gill Sans MT" w:cs="Calibri"/>
          <w:szCs w:val="22"/>
        </w:rPr>
        <w:t>De Commissie stelt vast dat het niet nodig is de zaak mondeling te behandelen. De zaak kan daarom op grond van de stukken worden beslist.</w:t>
      </w:r>
    </w:p>
    <w:p w14:paraId="42840C49" w14:textId="77777777" w:rsidR="00C23534" w:rsidRPr="00C23534" w:rsidRDefault="00C23534" w:rsidP="00C23534">
      <w:pPr>
        <w:overflowPunct w:val="0"/>
        <w:spacing w:line="276" w:lineRule="auto"/>
        <w:rPr>
          <w:rFonts w:ascii="Gill Sans MT" w:eastAsia="Calibri" w:hAnsi="Gill Sans MT" w:cs="Calibri"/>
          <w:szCs w:val="22"/>
        </w:rPr>
      </w:pPr>
    </w:p>
    <w:p w14:paraId="5ED81845" w14:textId="77777777" w:rsidR="00C23534" w:rsidRPr="00C23534" w:rsidRDefault="00C23534" w:rsidP="00C23534">
      <w:pPr>
        <w:numPr>
          <w:ilvl w:val="0"/>
          <w:numId w:val="13"/>
        </w:numPr>
        <w:overflowPunct w:val="0"/>
        <w:spacing w:line="276" w:lineRule="auto"/>
        <w:rPr>
          <w:rFonts w:ascii="Gill Sans MT" w:eastAsia="Gill Sans MT" w:hAnsi="Gill Sans MT" w:cs="Gill Sans MT"/>
          <w:b/>
          <w:bCs/>
          <w:u w:color="000000"/>
        </w:rPr>
      </w:pPr>
      <w:r w:rsidRPr="00C23534">
        <w:rPr>
          <w:rFonts w:ascii="Gill Sans MT" w:eastAsia="Gill Sans MT" w:hAnsi="Gill Sans MT" w:cs="Gill Sans MT"/>
          <w:b/>
          <w:bCs/>
          <w:u w:color="000000"/>
        </w:rPr>
        <w:t>Feiten</w:t>
      </w:r>
    </w:p>
    <w:p w14:paraId="23280169" w14:textId="77777777" w:rsidR="00C23534" w:rsidRPr="00C23534" w:rsidRDefault="00C23534" w:rsidP="00C23534">
      <w:pPr>
        <w:overflowPunct w:val="0"/>
        <w:spacing w:line="276" w:lineRule="auto"/>
        <w:ind w:left="360"/>
        <w:rPr>
          <w:rFonts w:ascii="Gill Sans MT" w:eastAsia="Gill Sans MT" w:hAnsi="Gill Sans MT" w:cs="Gill Sans MT"/>
          <w:b/>
          <w:bCs/>
          <w:u w:color="000000"/>
        </w:rPr>
      </w:pPr>
    </w:p>
    <w:p w14:paraId="50CAD3AA" w14:textId="77777777" w:rsidR="00C23534" w:rsidRPr="00C23534" w:rsidRDefault="00C23534" w:rsidP="00C23534">
      <w:pPr>
        <w:overflowPunct w:val="0"/>
        <w:spacing w:line="276" w:lineRule="auto"/>
        <w:rPr>
          <w:rFonts w:ascii="Gill Sans MT" w:eastAsia="Calibri" w:hAnsi="Gill Sans MT" w:cs="Calibri"/>
          <w:szCs w:val="22"/>
        </w:rPr>
      </w:pPr>
      <w:r w:rsidRPr="00C23534">
        <w:rPr>
          <w:rFonts w:ascii="Gill Sans MT" w:eastAsia="Calibri" w:hAnsi="Gill Sans MT" w:cs="Calibri"/>
          <w:szCs w:val="22"/>
        </w:rPr>
        <w:t xml:space="preserve">De Commissie gaat uit van de volgende feiten. </w:t>
      </w:r>
    </w:p>
    <w:p w14:paraId="1026F548" w14:textId="77777777"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lastRenderedPageBreak/>
        <w:t>Consument heeft bij Verzekeraar een reisverzekering, verder te noemen Verzekering, waarop van toepassing zijn de voorwaarden ‘Doorlopende Reisverzekering World Card Platinum’, verder te noemen de Voorwaarden.</w:t>
      </w:r>
    </w:p>
    <w:p w14:paraId="419C7A70" w14:textId="77777777" w:rsidR="00C23534" w:rsidRPr="00C23534" w:rsidRDefault="00C23534" w:rsidP="00C23534">
      <w:pPr>
        <w:overflowPunct w:val="0"/>
        <w:spacing w:line="276" w:lineRule="auto"/>
        <w:ind w:left="792"/>
        <w:rPr>
          <w:rFonts w:ascii="Gill Sans MT" w:eastAsia="Gill Sans MT" w:hAnsi="Gill Sans MT" w:cs="Gill Sans MT"/>
          <w:u w:color="000000"/>
        </w:rPr>
      </w:pPr>
    </w:p>
    <w:p w14:paraId="2B11E5C4" w14:textId="77777777"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In de Voorwaarden is, voor zover relevant, het volgende bepaald:</w:t>
      </w:r>
    </w:p>
    <w:p w14:paraId="68A86A31" w14:textId="77777777" w:rsidR="00C23534" w:rsidRPr="00C23534" w:rsidRDefault="00C23534" w:rsidP="00C23534">
      <w:pPr>
        <w:overflowPunct w:val="0"/>
        <w:spacing w:line="276" w:lineRule="auto"/>
        <w:ind w:left="792"/>
        <w:rPr>
          <w:rFonts w:ascii="Gill Sans MT" w:eastAsia="Gill Sans MT" w:hAnsi="Gill Sans MT" w:cs="Gill Sans MT"/>
          <w:u w:color="000000"/>
        </w:rPr>
      </w:pPr>
      <w:r w:rsidRPr="00C23534">
        <w:rPr>
          <w:rFonts w:ascii="Gill Sans MT" w:eastAsia="Gill Sans MT" w:hAnsi="Gill Sans MT" w:cs="Gill Sans MT"/>
          <w:u w:color="000000"/>
        </w:rPr>
        <w:t xml:space="preserve"> </w:t>
      </w:r>
    </w:p>
    <w:p w14:paraId="1FFEB969" w14:textId="77777777" w:rsidR="00C23534" w:rsidRPr="00C23534" w:rsidRDefault="00C23534" w:rsidP="00C23534">
      <w:pPr>
        <w:overflowPunct w:val="0"/>
        <w:spacing w:line="276" w:lineRule="auto"/>
        <w:ind w:left="792"/>
        <w:rPr>
          <w:rFonts w:ascii="Gill Sans MT" w:eastAsia="Gill Sans MT" w:hAnsi="Gill Sans MT" w:cs="Gill Sans MT"/>
          <w:u w:color="000000"/>
        </w:rPr>
      </w:pPr>
      <w:r w:rsidRPr="00C23534">
        <w:rPr>
          <w:rFonts w:ascii="Gill Sans MT" w:eastAsia="Gill Sans MT" w:hAnsi="Gill Sans MT" w:cs="Gill Sans MT"/>
          <w:u w:color="000000"/>
        </w:rPr>
        <w:t>Artikel 40</w:t>
      </w:r>
    </w:p>
    <w:p w14:paraId="0A1BC24C" w14:textId="77777777" w:rsidR="00C23534" w:rsidRPr="00C23534" w:rsidRDefault="00C23534" w:rsidP="00C23534">
      <w:pPr>
        <w:overflowPunct w:val="0"/>
        <w:spacing w:line="276" w:lineRule="auto"/>
        <w:ind w:left="792"/>
        <w:rPr>
          <w:rFonts w:ascii="Gill Sans MT" w:eastAsia="Gill Sans MT" w:hAnsi="Gill Sans MT" w:cs="Gill Sans MT"/>
          <w:i/>
          <w:iCs/>
          <w:u w:color="000000"/>
        </w:rPr>
      </w:pPr>
      <w:r w:rsidRPr="00C23534">
        <w:rPr>
          <w:rFonts w:ascii="Gill Sans MT" w:eastAsia="Gill Sans MT" w:hAnsi="Gill Sans MT" w:cs="Gill Sans MT"/>
          <w:i/>
          <w:iCs/>
          <w:u w:color="000000"/>
        </w:rPr>
        <w:t>‘</w:t>
      </w:r>
      <w:r w:rsidRPr="00C23534">
        <w:rPr>
          <w:rFonts w:ascii="Gill Sans MT" w:eastAsia="Gill Sans MT" w:hAnsi="Gill Sans MT" w:cs="Gill Sans MT"/>
          <w:b/>
          <w:bCs/>
          <w:i/>
          <w:iCs/>
          <w:u w:color="000000"/>
        </w:rPr>
        <w:t>Aanvullende begripsomschrijvingen</w:t>
      </w:r>
      <w:r w:rsidRPr="00C23534">
        <w:rPr>
          <w:rFonts w:ascii="Gill Sans MT" w:eastAsia="Gill Sans MT" w:hAnsi="Gill Sans MT" w:cs="Gill Sans MT"/>
          <w:i/>
          <w:iCs/>
          <w:u w:color="000000"/>
        </w:rPr>
        <w:t xml:space="preserve"> In deze Bijzondere Voorwaarden wordt verstaan onder: […] 3. Waardevolle zaken a. sieraden; b. portable film-, foto-, beeld-, geluids-, en videoapparatuur met de zaken die daarbij horen; c. computerapparatuur met de zaken die daarbij horen; d. beeld- en geluidsdragers; e. telecommunicatieapparatuur (waaronder mobiele telefoons en smartphones) met de zaken die daarbij horen.’</w:t>
      </w:r>
    </w:p>
    <w:p w14:paraId="65F98638" w14:textId="77777777" w:rsidR="00C23534" w:rsidRPr="00C23534" w:rsidRDefault="00C23534" w:rsidP="00C23534">
      <w:pPr>
        <w:overflowPunct w:val="0"/>
        <w:spacing w:line="276" w:lineRule="auto"/>
        <w:ind w:left="792"/>
        <w:rPr>
          <w:rFonts w:ascii="Gill Sans MT" w:eastAsia="Gill Sans MT" w:hAnsi="Gill Sans MT" w:cs="Gill Sans MT"/>
          <w:u w:color="000000"/>
        </w:rPr>
      </w:pPr>
    </w:p>
    <w:p w14:paraId="309EFD6B" w14:textId="77777777" w:rsidR="00C23534" w:rsidRPr="00C23534" w:rsidRDefault="00C23534" w:rsidP="00C23534">
      <w:pPr>
        <w:overflowPunct w:val="0"/>
        <w:spacing w:line="276" w:lineRule="auto"/>
        <w:ind w:left="792"/>
        <w:rPr>
          <w:rFonts w:ascii="Gill Sans MT" w:eastAsia="Gill Sans MT" w:hAnsi="Gill Sans MT" w:cs="Gill Sans MT"/>
          <w:u w:color="000000"/>
        </w:rPr>
      </w:pPr>
      <w:r w:rsidRPr="00C23534">
        <w:rPr>
          <w:rFonts w:ascii="Gill Sans MT" w:eastAsia="Gill Sans MT" w:hAnsi="Gill Sans MT" w:cs="Gill Sans MT"/>
          <w:u w:color="000000"/>
        </w:rPr>
        <w:t xml:space="preserve">Artikel 45 </w:t>
      </w:r>
    </w:p>
    <w:p w14:paraId="5E6CBB00" w14:textId="77777777" w:rsidR="00C23534" w:rsidRPr="00C23534" w:rsidRDefault="00C23534" w:rsidP="00C23534">
      <w:pPr>
        <w:overflowPunct w:val="0"/>
        <w:spacing w:line="276" w:lineRule="auto"/>
        <w:ind w:left="792"/>
        <w:rPr>
          <w:rFonts w:ascii="Gill Sans MT" w:eastAsia="Gill Sans MT" w:hAnsi="Gill Sans MT" w:cs="Gill Sans MT"/>
          <w:i/>
          <w:iCs/>
          <w:u w:color="000000"/>
        </w:rPr>
      </w:pPr>
      <w:r w:rsidRPr="00C23534">
        <w:rPr>
          <w:rFonts w:ascii="Gill Sans MT" w:eastAsia="Gill Sans MT" w:hAnsi="Gill Sans MT" w:cs="Gill Sans MT"/>
          <w:i/>
          <w:iCs/>
          <w:u w:color="000000"/>
        </w:rPr>
        <w:t>‘</w:t>
      </w:r>
      <w:r w:rsidRPr="00C23534">
        <w:rPr>
          <w:rFonts w:ascii="Gill Sans MT" w:eastAsia="Gill Sans MT" w:hAnsi="Gill Sans MT" w:cs="Gill Sans MT"/>
          <w:b/>
          <w:bCs/>
          <w:i/>
          <w:iCs/>
          <w:u w:color="000000"/>
        </w:rPr>
        <w:t>Aanvullende uitsluitingen</w:t>
      </w:r>
      <w:r w:rsidRPr="00C23534">
        <w:rPr>
          <w:rFonts w:ascii="Gill Sans MT" w:eastAsia="Gill Sans MT" w:hAnsi="Gill Sans MT" w:cs="Gill Sans MT"/>
          <w:i/>
          <w:iCs/>
          <w:u w:color="000000"/>
        </w:rPr>
        <w:t xml:space="preserve"> […] 2. ABN AMRO Schadeverzekering verleent geen dekking voor: […] b. diefstal, verlies, vermissing of beschadiging van waardevolle zaken, reisdocumenten en medicijnen als de verzekerde deze zaken bij vervoer per boot, bus, trein of vliegtuig niet als handbagage meeneemt.’ </w:t>
      </w:r>
    </w:p>
    <w:p w14:paraId="0C4ED3A2" w14:textId="77777777" w:rsidR="00C23534" w:rsidRPr="00C23534" w:rsidRDefault="00C23534" w:rsidP="00C23534">
      <w:pPr>
        <w:overflowPunct w:val="0"/>
        <w:spacing w:line="276" w:lineRule="auto"/>
        <w:ind w:left="792"/>
        <w:rPr>
          <w:rFonts w:ascii="Gill Sans MT" w:eastAsia="Gill Sans MT" w:hAnsi="Gill Sans MT" w:cs="Gill Sans MT"/>
          <w:u w:color="000000"/>
        </w:rPr>
      </w:pPr>
    </w:p>
    <w:p w14:paraId="47199F27" w14:textId="74CB134C" w:rsidR="00C23534" w:rsidRPr="00C23534" w:rsidRDefault="00C23534" w:rsidP="00C23534">
      <w:pPr>
        <w:overflowPunct w:val="0"/>
        <w:spacing w:line="276" w:lineRule="auto"/>
        <w:ind w:left="792"/>
        <w:rPr>
          <w:rFonts w:ascii="Gill Sans MT" w:eastAsia="Gill Sans MT" w:hAnsi="Gill Sans MT" w:cs="Gill Sans MT"/>
          <w:u w:color="000000"/>
        </w:rPr>
      </w:pPr>
      <w:r w:rsidRPr="00C23534">
        <w:rPr>
          <w:rFonts w:ascii="Gill Sans MT" w:eastAsia="Gill Sans MT" w:hAnsi="Gill Sans MT" w:cs="Gill Sans MT"/>
          <w:u w:color="000000"/>
        </w:rPr>
        <w:t xml:space="preserve">Artikel 37 </w:t>
      </w:r>
    </w:p>
    <w:p w14:paraId="3CFB88F0" w14:textId="6D2C863D" w:rsidR="00C23534" w:rsidRPr="00C23534" w:rsidRDefault="00C23534" w:rsidP="00C23534">
      <w:pPr>
        <w:overflowPunct w:val="0"/>
        <w:spacing w:line="276" w:lineRule="auto"/>
        <w:ind w:left="792"/>
        <w:rPr>
          <w:rFonts w:ascii="Gill Sans MT" w:eastAsia="Gill Sans MT" w:hAnsi="Gill Sans MT" w:cs="Gill Sans MT"/>
          <w:u w:color="000000"/>
        </w:rPr>
      </w:pPr>
      <w:r w:rsidRPr="00C23534">
        <w:rPr>
          <w:rFonts w:ascii="Gill Sans MT" w:eastAsia="Gill Sans MT" w:hAnsi="Gill Sans MT" w:cs="Gill Sans MT"/>
          <w:i/>
          <w:iCs/>
          <w:u w:color="000000"/>
        </w:rPr>
        <w:t>‘</w:t>
      </w:r>
      <w:r w:rsidRPr="00C23534">
        <w:rPr>
          <w:rFonts w:ascii="Gill Sans MT" w:eastAsia="Gill Sans MT" w:hAnsi="Gill Sans MT" w:cs="Gill Sans MT"/>
          <w:b/>
          <w:bCs/>
          <w:i/>
          <w:iCs/>
          <w:u w:color="000000"/>
        </w:rPr>
        <w:t>Omvang van de dekking voor extra kosten van vervangend onderkomen</w:t>
      </w:r>
      <w:r w:rsidRPr="00C23534">
        <w:rPr>
          <w:rFonts w:ascii="Gill Sans MT" w:eastAsia="Gill Sans MT" w:hAnsi="Gill Sans MT" w:cs="Gill Sans MT"/>
          <w:i/>
          <w:iCs/>
          <w:u w:color="000000"/>
        </w:rPr>
        <w:t xml:space="preserve"> Als door brand, diefstal of een van buiten komend onheil de eigen tent van de verzekerde niet kan worden gebruikt, biedt ABN AMRO Schadeverzekering dekking voor: 1.[…] 2. De extra verblijfkosten die de verzekerde maakt, als tijdens de reis een vervangende tent niet of niet tijdig op de vakantiebestemming beschikbaar is. De vergoeding bedraagt maximaal €50,- per verzekerde per dag voor maximaal 50 dagen</w:t>
      </w:r>
      <w:r w:rsidRPr="00C23534">
        <w:rPr>
          <w:rFonts w:ascii="Gill Sans MT" w:eastAsia="Gill Sans MT" w:hAnsi="Gill Sans MT" w:cs="Gill Sans MT"/>
          <w:u w:color="000000"/>
        </w:rPr>
        <w:t>.’</w:t>
      </w:r>
    </w:p>
    <w:p w14:paraId="18C13D00" w14:textId="77777777" w:rsidR="00C23534" w:rsidRPr="00C23534" w:rsidRDefault="00C23534" w:rsidP="00C23534">
      <w:pPr>
        <w:overflowPunct w:val="0"/>
        <w:spacing w:line="276" w:lineRule="auto"/>
        <w:ind w:left="792"/>
        <w:rPr>
          <w:rFonts w:ascii="Gill Sans MT" w:eastAsia="Gill Sans MT" w:hAnsi="Gill Sans MT" w:cs="Gill Sans MT"/>
          <w:u w:color="000000"/>
        </w:rPr>
      </w:pPr>
    </w:p>
    <w:p w14:paraId="484DEC5C" w14:textId="77777777" w:rsidR="00C23534" w:rsidRPr="00C23534" w:rsidRDefault="00C23534" w:rsidP="00C23534">
      <w:pPr>
        <w:overflowPunct w:val="0"/>
        <w:spacing w:line="276" w:lineRule="auto"/>
        <w:ind w:left="792"/>
        <w:rPr>
          <w:rFonts w:ascii="Gill Sans MT" w:eastAsia="Gill Sans MT" w:hAnsi="Gill Sans MT" w:cs="Gill Sans MT"/>
          <w:u w:color="000000"/>
        </w:rPr>
      </w:pPr>
      <w:r w:rsidRPr="00C23534">
        <w:rPr>
          <w:rFonts w:ascii="Gill Sans MT" w:eastAsia="Gill Sans MT" w:hAnsi="Gill Sans MT" w:cs="Gill Sans MT"/>
          <w:u w:color="000000"/>
        </w:rPr>
        <w:t>Onder Algemene Begripsomschrijvingen staat, voor zover relevant:</w:t>
      </w:r>
    </w:p>
    <w:p w14:paraId="70716A93" w14:textId="77777777" w:rsidR="00C23534" w:rsidRPr="00C23534" w:rsidRDefault="00C23534" w:rsidP="00C23534">
      <w:pPr>
        <w:overflowPunct w:val="0"/>
        <w:spacing w:line="276" w:lineRule="auto"/>
        <w:ind w:left="792"/>
        <w:rPr>
          <w:rFonts w:ascii="Gill Sans MT" w:eastAsia="Gill Sans MT" w:hAnsi="Gill Sans MT" w:cs="Gill Sans MT"/>
          <w:i/>
          <w:iCs/>
          <w:u w:color="000000"/>
        </w:rPr>
      </w:pPr>
      <w:r w:rsidRPr="00C23534">
        <w:rPr>
          <w:rFonts w:ascii="Gill Sans MT" w:eastAsia="Gill Sans MT" w:hAnsi="Gill Sans MT" w:cs="Gill Sans MT"/>
          <w:i/>
          <w:iCs/>
          <w:u w:color="000000"/>
        </w:rPr>
        <w:t>‘</w:t>
      </w:r>
      <w:r w:rsidRPr="00C23534">
        <w:rPr>
          <w:rFonts w:ascii="Gill Sans MT" w:eastAsia="Gill Sans MT" w:hAnsi="Gill Sans MT" w:cs="Gill Sans MT"/>
          <w:b/>
          <w:bCs/>
          <w:i/>
          <w:iCs/>
          <w:u w:color="000000"/>
        </w:rPr>
        <w:t>Sieraden</w:t>
      </w:r>
    </w:p>
    <w:p w14:paraId="4A126B7C" w14:textId="77777777" w:rsidR="00C23534" w:rsidRPr="00C23534" w:rsidRDefault="00C23534" w:rsidP="00C23534">
      <w:pPr>
        <w:overflowPunct w:val="0"/>
        <w:spacing w:line="276" w:lineRule="auto"/>
        <w:ind w:left="792"/>
        <w:rPr>
          <w:rFonts w:ascii="Gill Sans MT" w:eastAsia="Gill Sans MT" w:hAnsi="Gill Sans MT" w:cs="Gill Sans MT"/>
          <w:i/>
          <w:iCs/>
          <w:u w:color="000000"/>
        </w:rPr>
      </w:pPr>
      <w:r w:rsidRPr="00C23534">
        <w:rPr>
          <w:rFonts w:ascii="Gill Sans MT" w:eastAsia="Gill Sans MT" w:hAnsi="Gill Sans MT" w:cs="Gill Sans MT"/>
          <w:i/>
          <w:iCs/>
          <w:u w:color="000000"/>
        </w:rPr>
        <w:t>[…]</w:t>
      </w:r>
    </w:p>
    <w:p w14:paraId="3FB2450B" w14:textId="77777777" w:rsidR="00C23534" w:rsidRPr="00C23534" w:rsidRDefault="00C23534" w:rsidP="00C23534">
      <w:pPr>
        <w:numPr>
          <w:ilvl w:val="0"/>
          <w:numId w:val="14"/>
        </w:numPr>
        <w:overflowPunct w:val="0"/>
        <w:spacing w:line="276" w:lineRule="auto"/>
        <w:rPr>
          <w:rFonts w:ascii="Gill Sans MT" w:eastAsia="Gill Sans MT" w:hAnsi="Gill Sans MT" w:cs="Gill Sans MT"/>
          <w:i/>
          <w:iCs/>
          <w:u w:color="000000"/>
        </w:rPr>
      </w:pPr>
      <w:r w:rsidRPr="00C23534">
        <w:rPr>
          <w:rFonts w:ascii="Gill Sans MT" w:eastAsia="Gill Sans MT" w:hAnsi="Gill Sans MT" w:cs="Gill Sans MT"/>
          <w:i/>
          <w:iCs/>
          <w:u w:color="000000"/>
        </w:rPr>
        <w:t>Horloges.’</w:t>
      </w:r>
    </w:p>
    <w:p w14:paraId="350F9E66" w14:textId="77777777" w:rsidR="00C23534" w:rsidRPr="00C23534" w:rsidRDefault="00C23534" w:rsidP="00C23534">
      <w:pPr>
        <w:overflowPunct w:val="0"/>
        <w:spacing w:line="276" w:lineRule="auto"/>
        <w:ind w:left="792"/>
        <w:rPr>
          <w:rFonts w:ascii="Gill Sans MT" w:eastAsia="Gill Sans MT" w:hAnsi="Gill Sans MT" w:cs="Gill Sans MT"/>
          <w:u w:color="000000"/>
        </w:rPr>
      </w:pPr>
    </w:p>
    <w:p w14:paraId="333C7C02" w14:textId="1E170943"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 xml:space="preserve">Consument is op 26 augustus 2018 naar </w:t>
      </w:r>
      <w:bookmarkStart w:id="1" w:name="_Hlk15027334"/>
      <w:r w:rsidRPr="00C23534">
        <w:rPr>
          <w:rFonts w:ascii="Gill Sans MT" w:eastAsia="Gill Sans MT" w:hAnsi="Gill Sans MT" w:cs="Gill Sans MT"/>
          <w:u w:color="000000"/>
        </w:rPr>
        <w:t xml:space="preserve">Malaga </w:t>
      </w:r>
      <w:bookmarkEnd w:id="1"/>
      <w:r w:rsidRPr="00C23534">
        <w:rPr>
          <w:rFonts w:ascii="Gill Sans MT" w:eastAsia="Gill Sans MT" w:hAnsi="Gill Sans MT" w:cs="Gill Sans MT"/>
          <w:u w:color="000000"/>
        </w:rPr>
        <w:t xml:space="preserve">gevlogen en daarna is hij per bus verder gereisd naar </w:t>
      </w:r>
      <w:r w:rsidR="00714A62" w:rsidRPr="003C703E">
        <w:rPr>
          <w:rFonts w:ascii="Gill Sans MT" w:eastAsia="Gill Sans MT" w:hAnsi="Gill Sans MT" w:cs="Gill Sans MT"/>
          <w:u w:color="000000"/>
        </w:rPr>
        <w:t>[plaatsnaam]</w:t>
      </w:r>
      <w:r w:rsidRPr="00C23534">
        <w:rPr>
          <w:rFonts w:ascii="Gill Sans MT" w:eastAsia="Gill Sans MT" w:hAnsi="Gill Sans MT" w:cs="Gill Sans MT"/>
          <w:u w:color="000000"/>
        </w:rPr>
        <w:t xml:space="preserve">. Tussen Malaga en </w:t>
      </w:r>
      <w:r w:rsidR="00714A62" w:rsidRPr="003C703E">
        <w:rPr>
          <w:rFonts w:ascii="Gill Sans MT" w:eastAsia="Gill Sans MT" w:hAnsi="Gill Sans MT" w:cs="Gill Sans MT"/>
          <w:u w:color="000000"/>
        </w:rPr>
        <w:t>[plaatsnaam]</w:t>
      </w:r>
      <w:r w:rsidRPr="00C23534">
        <w:rPr>
          <w:rFonts w:ascii="Gill Sans MT" w:eastAsia="Gill Sans MT" w:hAnsi="Gill Sans MT" w:cs="Gill Sans MT"/>
          <w:u w:color="000000"/>
        </w:rPr>
        <w:t xml:space="preserve"> heeft de bus nog eenmaal een stop gemaakt. Toen hij in </w:t>
      </w:r>
      <w:r w:rsidR="00714A62" w:rsidRPr="003C703E">
        <w:rPr>
          <w:rFonts w:ascii="Gill Sans MT" w:eastAsia="Gill Sans MT" w:hAnsi="Gill Sans MT" w:cs="Gill Sans MT"/>
          <w:u w:color="000000"/>
        </w:rPr>
        <w:t xml:space="preserve">[plaatsnaam] </w:t>
      </w:r>
      <w:r w:rsidRPr="00C23534">
        <w:rPr>
          <w:rFonts w:ascii="Gill Sans MT" w:eastAsia="Gill Sans MT" w:hAnsi="Gill Sans MT" w:cs="Gill Sans MT"/>
          <w:u w:color="000000"/>
        </w:rPr>
        <w:t xml:space="preserve">is aangekomen, is gebleken dat de koffer van Consument niet meer in de laadruimte onder in de bus stond. </w:t>
      </w:r>
    </w:p>
    <w:p w14:paraId="326E211C" w14:textId="77777777" w:rsidR="00C23534" w:rsidRPr="00C23534" w:rsidRDefault="00C23534" w:rsidP="00C23534">
      <w:pPr>
        <w:overflowPunct w:val="0"/>
        <w:spacing w:line="276" w:lineRule="auto"/>
        <w:ind w:left="792"/>
        <w:rPr>
          <w:rFonts w:ascii="Gill Sans MT" w:eastAsia="Gill Sans MT" w:hAnsi="Gill Sans MT" w:cs="Gill Sans MT"/>
          <w:u w:color="000000"/>
        </w:rPr>
      </w:pPr>
    </w:p>
    <w:p w14:paraId="45F8F47B" w14:textId="77777777"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Consument heeft naar aanleiding van de diefstal/het verlies van de koffer een claim ingediend bij Verzekeraar.</w:t>
      </w:r>
    </w:p>
    <w:p w14:paraId="62E38130" w14:textId="77777777" w:rsidR="00C23534" w:rsidRPr="00C23534" w:rsidRDefault="00C23534" w:rsidP="00C23534">
      <w:pPr>
        <w:overflowPunct w:val="0"/>
        <w:spacing w:line="276" w:lineRule="auto"/>
        <w:rPr>
          <w:rFonts w:ascii="Gill Sans MT" w:eastAsia="Gill Sans MT" w:hAnsi="Gill Sans MT" w:cs="Gill Sans MT"/>
          <w:u w:color="000000"/>
        </w:rPr>
      </w:pPr>
    </w:p>
    <w:p w14:paraId="4CDFE92D" w14:textId="6D5D4A67"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lastRenderedPageBreak/>
        <w:t>Verzekeraar heeft een expert ingeschakeld en op basis daarvan een bedrag van €</w:t>
      </w:r>
      <w:r w:rsidR="003C703E" w:rsidRPr="003C703E">
        <w:rPr>
          <w:rFonts w:ascii="Gill Sans MT" w:eastAsia="Gill Sans MT" w:hAnsi="Gill Sans MT" w:cs="Gill Sans MT"/>
          <w:u w:color="000000"/>
        </w:rPr>
        <w:t xml:space="preserve"> </w:t>
      </w:r>
      <w:r w:rsidRPr="00C23534">
        <w:rPr>
          <w:rFonts w:ascii="Gill Sans MT" w:eastAsia="Gill Sans MT" w:hAnsi="Gill Sans MT" w:cs="Gill Sans MT"/>
          <w:u w:color="000000"/>
        </w:rPr>
        <w:t xml:space="preserve">1.659,17 uitgekeerd. </w:t>
      </w:r>
    </w:p>
    <w:p w14:paraId="45013BEA" w14:textId="77777777" w:rsidR="00C23534" w:rsidRPr="00C23534" w:rsidRDefault="00C23534" w:rsidP="00C23534">
      <w:pPr>
        <w:overflowPunct w:val="0"/>
        <w:spacing w:line="276" w:lineRule="auto"/>
        <w:ind w:left="792"/>
        <w:rPr>
          <w:rFonts w:ascii="Gill Sans MT" w:eastAsia="Gill Sans MT" w:hAnsi="Gill Sans MT" w:cs="Gill Sans MT"/>
          <w:u w:color="000000"/>
        </w:rPr>
      </w:pPr>
    </w:p>
    <w:p w14:paraId="5B644E4E" w14:textId="77777777"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 xml:space="preserve">Consument heeft over de hoogte van het uitgekeerde bedrag geklaagd bij Verzekeraar en daarna hierover een klacht bij </w:t>
      </w:r>
      <w:proofErr w:type="spellStart"/>
      <w:r w:rsidRPr="00C23534">
        <w:rPr>
          <w:rFonts w:ascii="Gill Sans MT" w:eastAsia="Gill Sans MT" w:hAnsi="Gill Sans MT" w:cs="Gill Sans MT"/>
          <w:u w:color="000000"/>
        </w:rPr>
        <w:t>Kifid</w:t>
      </w:r>
      <w:proofErr w:type="spellEnd"/>
      <w:r w:rsidRPr="00C23534">
        <w:rPr>
          <w:rFonts w:ascii="Gill Sans MT" w:eastAsia="Gill Sans MT" w:hAnsi="Gill Sans MT" w:cs="Gill Sans MT"/>
          <w:u w:color="000000"/>
        </w:rPr>
        <w:t xml:space="preserve"> ingediend.</w:t>
      </w:r>
    </w:p>
    <w:p w14:paraId="321CFF6C" w14:textId="77777777" w:rsidR="00C23534" w:rsidRPr="00C23534" w:rsidRDefault="00C23534" w:rsidP="00C23534">
      <w:pPr>
        <w:overflowPunct w:val="0"/>
        <w:spacing w:line="276" w:lineRule="auto"/>
        <w:rPr>
          <w:rFonts w:ascii="Gill Sans MT" w:eastAsia="Calibri" w:hAnsi="Gill Sans MT" w:cs="Calibri"/>
          <w:szCs w:val="22"/>
        </w:rPr>
      </w:pPr>
    </w:p>
    <w:p w14:paraId="1D7F9A18" w14:textId="77777777" w:rsidR="00C23534" w:rsidRPr="00C23534" w:rsidRDefault="00C23534" w:rsidP="00C23534">
      <w:pPr>
        <w:numPr>
          <w:ilvl w:val="0"/>
          <w:numId w:val="13"/>
        </w:numPr>
        <w:overflowPunct w:val="0"/>
        <w:spacing w:line="276" w:lineRule="auto"/>
        <w:rPr>
          <w:rFonts w:ascii="Gill Sans MT" w:eastAsia="Gill Sans MT" w:hAnsi="Gill Sans MT" w:cs="Gill Sans MT"/>
          <w:b/>
          <w:bCs/>
          <w:u w:color="000000"/>
        </w:rPr>
      </w:pPr>
      <w:r w:rsidRPr="00C23534">
        <w:rPr>
          <w:rFonts w:ascii="Gill Sans MT" w:eastAsia="Gill Sans MT" w:hAnsi="Gill Sans MT" w:cs="Gill Sans MT"/>
          <w:b/>
          <w:bCs/>
          <w:u w:color="000000"/>
        </w:rPr>
        <w:t>Vordering, klacht en verweer</w:t>
      </w:r>
    </w:p>
    <w:p w14:paraId="4347459D" w14:textId="77777777" w:rsidR="00C23534" w:rsidRPr="00C23534" w:rsidRDefault="00C23534" w:rsidP="00C23534">
      <w:pPr>
        <w:overflowPunct w:val="0"/>
        <w:spacing w:line="276" w:lineRule="auto"/>
        <w:rPr>
          <w:rFonts w:ascii="Gill Sans MT" w:eastAsia="Calibri" w:hAnsi="Gill Sans MT" w:cs="Calibri"/>
          <w:szCs w:val="22"/>
        </w:rPr>
      </w:pPr>
    </w:p>
    <w:p w14:paraId="20466909" w14:textId="77777777" w:rsidR="00C23534" w:rsidRPr="00C23534" w:rsidRDefault="00C23534" w:rsidP="00C23534">
      <w:pPr>
        <w:overflowPunct w:val="0"/>
        <w:spacing w:line="276" w:lineRule="auto"/>
        <w:rPr>
          <w:rFonts w:ascii="Gill Sans MT" w:eastAsia="Calibri" w:hAnsi="Gill Sans MT" w:cs="Calibri"/>
          <w:i/>
          <w:iCs/>
          <w:szCs w:val="22"/>
        </w:rPr>
      </w:pPr>
      <w:r w:rsidRPr="00C23534">
        <w:rPr>
          <w:rFonts w:ascii="Gill Sans MT" w:eastAsia="Calibri" w:hAnsi="Gill Sans MT" w:cs="Calibri"/>
          <w:i/>
          <w:iCs/>
          <w:szCs w:val="22"/>
        </w:rPr>
        <w:t>Vordering Consument</w:t>
      </w:r>
    </w:p>
    <w:p w14:paraId="48383F4F" w14:textId="23D2E9BA"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 xml:space="preserve">Consument vordert €5.000,00. Dit bedrag vertegenwoordigt de schade door diefstal van onder meer kleding, horloge, toiletartikelen, koffer, telefoon, sportkleding, </w:t>
      </w:r>
      <w:proofErr w:type="spellStart"/>
      <w:r w:rsidRPr="00C23534">
        <w:rPr>
          <w:rFonts w:ascii="Gill Sans MT" w:eastAsia="Gill Sans MT" w:hAnsi="Gill Sans MT" w:cs="Gill Sans MT"/>
          <w:u w:color="000000"/>
        </w:rPr>
        <w:t>hardloop</w:t>
      </w:r>
      <w:r w:rsidR="003C703E" w:rsidRPr="003C703E">
        <w:rPr>
          <w:rFonts w:ascii="Gill Sans MT" w:eastAsia="Gill Sans MT" w:hAnsi="Gill Sans MT" w:cs="Gill Sans MT"/>
          <w:u w:color="000000"/>
        </w:rPr>
        <w:t>-</w:t>
      </w:r>
      <w:r w:rsidRPr="00C23534">
        <w:rPr>
          <w:rFonts w:ascii="Gill Sans MT" w:eastAsia="Gill Sans MT" w:hAnsi="Gill Sans MT" w:cs="Gill Sans MT"/>
          <w:u w:color="000000"/>
        </w:rPr>
        <w:t>schoenen</w:t>
      </w:r>
      <w:proofErr w:type="spellEnd"/>
      <w:r w:rsidRPr="00C23534">
        <w:rPr>
          <w:rFonts w:ascii="Gill Sans MT" w:eastAsia="Gill Sans MT" w:hAnsi="Gill Sans MT" w:cs="Gill Sans MT"/>
          <w:u w:color="000000"/>
        </w:rPr>
        <w:t>, verblijf en onderhoudskosten en taxi.</w:t>
      </w:r>
    </w:p>
    <w:p w14:paraId="30E186A7" w14:textId="77777777" w:rsidR="00C23534" w:rsidRPr="00C23534" w:rsidRDefault="00C23534" w:rsidP="00C23534">
      <w:pPr>
        <w:overflowPunct w:val="0"/>
        <w:spacing w:line="276" w:lineRule="auto"/>
        <w:rPr>
          <w:rFonts w:ascii="Gill Sans MT" w:eastAsia="Calibri" w:hAnsi="Gill Sans MT" w:cs="Calibri"/>
          <w:szCs w:val="22"/>
        </w:rPr>
      </w:pPr>
    </w:p>
    <w:p w14:paraId="56F77D0C" w14:textId="77777777" w:rsidR="00C23534" w:rsidRPr="00C23534" w:rsidRDefault="00C23534" w:rsidP="00C23534">
      <w:pPr>
        <w:overflowPunct w:val="0"/>
        <w:spacing w:line="276" w:lineRule="auto"/>
        <w:rPr>
          <w:rFonts w:ascii="Gill Sans MT" w:eastAsia="Calibri" w:hAnsi="Gill Sans MT" w:cs="Calibri"/>
          <w:i/>
          <w:iCs/>
          <w:szCs w:val="22"/>
        </w:rPr>
      </w:pPr>
      <w:r w:rsidRPr="00C23534">
        <w:rPr>
          <w:rFonts w:ascii="Gill Sans MT" w:eastAsia="Calibri" w:hAnsi="Gill Sans MT" w:cs="Calibri"/>
          <w:i/>
          <w:iCs/>
          <w:szCs w:val="22"/>
        </w:rPr>
        <w:t>Grondslagen en argumenten daarvoor</w:t>
      </w:r>
    </w:p>
    <w:p w14:paraId="6F852107" w14:textId="77777777"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 xml:space="preserve">Deze vordering steunt, kort en zakelijk weergegeven, op de volgende grondslag. Verzekeraar is toerekenbaar tekortgeschoten in de nakoming van zijn verbintenissen. Consument stelt dat hem onterecht een te klein bedrag is uitgekeerd en voert hiertoe de volgende argumenten aan. </w:t>
      </w:r>
    </w:p>
    <w:p w14:paraId="61510A6B" w14:textId="77777777" w:rsidR="00C23534" w:rsidRPr="00C23534" w:rsidRDefault="00C23534" w:rsidP="00C23534">
      <w:pPr>
        <w:numPr>
          <w:ilvl w:val="0"/>
          <w:numId w:val="6"/>
        </w:numPr>
        <w:overflowPunct w:val="0"/>
        <w:spacing w:line="276" w:lineRule="auto"/>
        <w:rPr>
          <w:rFonts w:ascii="Gill Sans MT" w:eastAsia="Gill Sans MT" w:hAnsi="Gill Sans MT" w:cs="Gill Sans MT"/>
          <w:i/>
          <w:iCs/>
          <w:u w:color="000000"/>
        </w:rPr>
      </w:pPr>
      <w:r w:rsidRPr="00C23534">
        <w:rPr>
          <w:rFonts w:ascii="Gill Sans MT" w:eastAsia="Gill Sans MT" w:hAnsi="Gill Sans MT" w:cs="Gill Sans MT"/>
          <w:u w:color="000000"/>
        </w:rPr>
        <w:t>Verzekeraar heeft onvoldoende uitgekeerd naar aanleiding van de kosten die Consument noodgedwongen heeft moeten maken voor het aanschaffen van vervangende producten. Consument heeft gekozen voor Verzekering om zich tegen dit soort tegenslagen te verzekeren.</w:t>
      </w:r>
    </w:p>
    <w:p w14:paraId="7D0994E4" w14:textId="77777777" w:rsidR="00C23534" w:rsidRPr="00C23534" w:rsidRDefault="00C23534" w:rsidP="00C23534">
      <w:pPr>
        <w:numPr>
          <w:ilvl w:val="0"/>
          <w:numId w:val="6"/>
        </w:numPr>
        <w:overflowPunct w:val="0"/>
        <w:spacing w:line="276" w:lineRule="auto"/>
        <w:rPr>
          <w:rFonts w:ascii="Gill Sans MT" w:eastAsia="Gill Sans MT" w:hAnsi="Gill Sans MT" w:cs="Gill Sans MT"/>
          <w:i/>
          <w:iCs/>
          <w:u w:color="000000"/>
        </w:rPr>
      </w:pPr>
      <w:r w:rsidRPr="00C23534">
        <w:rPr>
          <w:rFonts w:ascii="Gill Sans MT" w:eastAsia="Gill Sans MT" w:hAnsi="Gill Sans MT" w:cs="Gill Sans MT"/>
          <w:u w:color="000000"/>
        </w:rPr>
        <w:t>Consument heeft noodgedwongen verblijfkosten moeten maken, die niet vergoed zijn.</w:t>
      </w:r>
    </w:p>
    <w:p w14:paraId="73A1EFDA" w14:textId="77777777" w:rsidR="00C23534" w:rsidRPr="00C23534" w:rsidRDefault="00C23534" w:rsidP="00C23534">
      <w:pPr>
        <w:numPr>
          <w:ilvl w:val="0"/>
          <w:numId w:val="6"/>
        </w:numPr>
        <w:overflowPunct w:val="0"/>
        <w:spacing w:line="276" w:lineRule="auto"/>
        <w:rPr>
          <w:rFonts w:ascii="Gill Sans MT" w:eastAsia="Gill Sans MT" w:hAnsi="Gill Sans MT" w:cs="Gill Sans MT"/>
          <w:i/>
          <w:iCs/>
          <w:u w:color="000000"/>
        </w:rPr>
      </w:pPr>
      <w:r w:rsidRPr="00C23534">
        <w:rPr>
          <w:rFonts w:ascii="Gill Sans MT" w:eastAsia="Gill Sans MT" w:hAnsi="Gill Sans MT" w:cs="Gill Sans MT"/>
          <w:u w:color="000000"/>
        </w:rPr>
        <w:t>De waarde van het horloge van Consument staat niet in verhouding tot het bedrag dat hem door Verzekeraar is uitgekeerd.</w:t>
      </w:r>
    </w:p>
    <w:p w14:paraId="267B764F" w14:textId="77777777" w:rsidR="00C23534" w:rsidRPr="00C23534" w:rsidRDefault="00C23534" w:rsidP="00C23534">
      <w:pPr>
        <w:overflowPunct w:val="0"/>
        <w:spacing w:line="276" w:lineRule="auto"/>
        <w:ind w:left="567"/>
        <w:rPr>
          <w:rFonts w:ascii="Gill Sans MT" w:eastAsia="Gill Sans MT" w:hAnsi="Gill Sans MT" w:cs="Gill Sans MT"/>
          <w:u w:color="000000"/>
        </w:rPr>
      </w:pPr>
    </w:p>
    <w:p w14:paraId="69766EC4" w14:textId="77777777" w:rsidR="00C23534" w:rsidRPr="00C23534" w:rsidRDefault="00C23534" w:rsidP="00C23534">
      <w:pPr>
        <w:overflowPunct w:val="0"/>
        <w:spacing w:line="276" w:lineRule="auto"/>
        <w:rPr>
          <w:rFonts w:ascii="Gill Sans MT" w:eastAsia="Calibri" w:hAnsi="Gill Sans MT" w:cs="Calibri"/>
          <w:szCs w:val="22"/>
        </w:rPr>
      </w:pPr>
      <w:r w:rsidRPr="00C23534">
        <w:rPr>
          <w:rFonts w:ascii="Gill Sans MT" w:eastAsia="Calibri" w:hAnsi="Gill Sans MT" w:cs="Calibri"/>
          <w:i/>
          <w:iCs/>
          <w:szCs w:val="22"/>
        </w:rPr>
        <w:t>Verweer</w:t>
      </w:r>
      <w:r w:rsidRPr="00C23534">
        <w:rPr>
          <w:rFonts w:ascii="Gill Sans MT" w:eastAsia="Calibri" w:hAnsi="Gill Sans MT" w:cs="Calibri"/>
          <w:i/>
          <w:szCs w:val="22"/>
        </w:rPr>
        <w:t xml:space="preserve"> Verzekeraar</w:t>
      </w:r>
    </w:p>
    <w:p w14:paraId="7F844CA3" w14:textId="77777777"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Verzekeraar heeft, kort en zakelijk weergegeven, de volgende verweren gevoerd:</w:t>
      </w:r>
    </w:p>
    <w:p w14:paraId="117CF796" w14:textId="77777777" w:rsidR="00C23534" w:rsidRPr="00C23534" w:rsidRDefault="00C23534" w:rsidP="00C23534">
      <w:pPr>
        <w:numPr>
          <w:ilvl w:val="0"/>
          <w:numId w:val="8"/>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Consument heeft recht op uitkering van het bedrag dat de gestolen bagage vertegenwoordigt, zoals vastgesteld door de expert. Het kostbare sporthorloge komt niet voor vergoeding in aanmerking. Dit kan worden aangemerkt als een waardevolle zaak, zoals bedoeld in artikel 40 van de Voorwaarden. Consument had dit op grond van artikel 45 lid 2 van de Voorwaarden moeten vervoeren als handbagage. Nu hij het horloge in de koffer, die in de laadruimte onderin de bus werd geplaatst, heeft vervoerd, heeft hij niet volgens de in artikel 45 voorgeschreven voorzichtigheidsnorm gehandeld. Verzekeraar is daarom niet tot uitkering verplicht.</w:t>
      </w:r>
    </w:p>
    <w:p w14:paraId="0232FE67" w14:textId="77777777" w:rsidR="00C23534" w:rsidRPr="00C23534" w:rsidRDefault="00C23534" w:rsidP="00C23534">
      <w:pPr>
        <w:numPr>
          <w:ilvl w:val="0"/>
          <w:numId w:val="8"/>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Consument heeft in zijn claim ook de kosten opgenomen voor het vervangen van auto- en huissloten. Dit is echter geen reisbagage noch is het onder te brengen onder de extra kosten die alleen in de situaties, genoemd in de Voorwaarden voor vergoeding in aanmerking komen. Deze situaties staan opgesomd in artikel 34 tot en met 37 van de Voorwaarden.</w:t>
      </w:r>
    </w:p>
    <w:p w14:paraId="79565EC6" w14:textId="77777777" w:rsidR="00C23534" w:rsidRPr="00C23534" w:rsidRDefault="00C23534" w:rsidP="00C23534">
      <w:pPr>
        <w:numPr>
          <w:ilvl w:val="0"/>
          <w:numId w:val="8"/>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lastRenderedPageBreak/>
        <w:t>Consument vordert ook uitkering van kosten gemaakt voor extra hotelovernachtingen. Deze extra kosten staan evenmin genoemd in de Voorwaarden en komen daarom niet voor vergoeding in aanmerkingen. De hotelovernachting op de dag van de diefstal is door Verzekeraar vergoed.</w:t>
      </w:r>
    </w:p>
    <w:p w14:paraId="017EDC54" w14:textId="77777777" w:rsidR="00C23534" w:rsidRPr="00C23534" w:rsidRDefault="00C23534" w:rsidP="00C23534">
      <w:pPr>
        <w:overflowPunct w:val="0"/>
        <w:spacing w:line="276" w:lineRule="auto"/>
        <w:rPr>
          <w:rFonts w:ascii="Gill Sans MT" w:eastAsia="Calibri" w:hAnsi="Gill Sans MT" w:cs="Calibri"/>
          <w:szCs w:val="22"/>
        </w:rPr>
      </w:pPr>
    </w:p>
    <w:p w14:paraId="7AD7396F" w14:textId="620E28DB" w:rsidR="00C23534" w:rsidRPr="00C23534" w:rsidRDefault="00C23534" w:rsidP="00C23534">
      <w:pPr>
        <w:numPr>
          <w:ilvl w:val="0"/>
          <w:numId w:val="13"/>
        </w:numPr>
        <w:overflowPunct w:val="0"/>
        <w:spacing w:line="276" w:lineRule="auto"/>
        <w:rPr>
          <w:rFonts w:ascii="Gill Sans MT" w:eastAsia="Gill Sans MT" w:hAnsi="Gill Sans MT" w:cs="Gill Sans MT"/>
          <w:b/>
          <w:bCs/>
          <w:u w:color="000000"/>
        </w:rPr>
      </w:pPr>
      <w:r w:rsidRPr="00C23534">
        <w:rPr>
          <w:rFonts w:ascii="Gill Sans MT" w:eastAsia="Gill Sans MT" w:hAnsi="Gill Sans MT" w:cs="Gill Sans MT"/>
          <w:b/>
          <w:bCs/>
          <w:u w:color="000000"/>
        </w:rPr>
        <w:t>Beoordeling</w:t>
      </w:r>
      <w:r w:rsidRPr="003C703E">
        <w:rPr>
          <w:rFonts w:ascii="Gill Sans MT" w:eastAsia="Gill Sans MT" w:hAnsi="Gill Sans MT" w:cs="Gill Sans MT"/>
          <w:b/>
          <w:bCs/>
          <w:u w:color="000000"/>
        </w:rPr>
        <w:br/>
      </w:r>
      <w:r w:rsidRPr="00C23534">
        <w:rPr>
          <w:rFonts w:ascii="Gill Sans MT" w:eastAsia="Gill Sans MT" w:hAnsi="Gill Sans MT" w:cs="Gill Sans MT"/>
          <w:b/>
          <w:bCs/>
          <w:u w:color="000000"/>
        </w:rPr>
        <w:t xml:space="preserve"> </w:t>
      </w:r>
    </w:p>
    <w:p w14:paraId="2DC35D00" w14:textId="77777777"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De Commissie ziet zich gesteld voor de vraag of de door Consument geclaimde maar door Verzekeraar geweigerde schadevergoeding op basis van de Voorwaarden voor uitkering in aanmerking komt.</w:t>
      </w:r>
    </w:p>
    <w:p w14:paraId="3AD389D0" w14:textId="77777777" w:rsidR="00C23534" w:rsidRPr="00C23534" w:rsidRDefault="00C23534" w:rsidP="00C23534">
      <w:pPr>
        <w:overflowPunct w:val="0"/>
        <w:spacing w:line="276" w:lineRule="auto"/>
        <w:ind w:left="792"/>
        <w:rPr>
          <w:rFonts w:ascii="Gill Sans MT" w:eastAsia="Gill Sans MT" w:hAnsi="Gill Sans MT" w:cs="Gill Sans MT"/>
          <w:u w:color="000000"/>
        </w:rPr>
      </w:pPr>
    </w:p>
    <w:p w14:paraId="605ACEF8" w14:textId="77777777"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Op grond van de Voorwaarden dient Consument waardevolle zaken tijdens een busreis als handbagage te vervoeren. Onder ‘waardevolle zaken’ wordt ook verstaan ‘sieraden’ en uit de begripsomschrijving van ‘sieraden’ blijkt dat horloges ook als sieraden worden beschouwd. Door zijn horloge in de koffer te doen terwijl dit als handbagage vervoerd had moeten worden, heeft Consument niet conform de Voorwaarden gehandeld. De Commissie oordeelt op basis hiervan dat Verzekeraar het bedrag dat de waardevolle spullen zou vergoeden niet hoeft uit te keren.</w:t>
      </w:r>
    </w:p>
    <w:p w14:paraId="16C2FB34" w14:textId="77777777" w:rsidR="00C23534" w:rsidRPr="00C23534" w:rsidRDefault="00C23534" w:rsidP="00C23534">
      <w:pPr>
        <w:overflowPunct w:val="0"/>
        <w:spacing w:line="276" w:lineRule="auto"/>
        <w:ind w:left="792"/>
        <w:rPr>
          <w:rFonts w:ascii="Gill Sans MT" w:eastAsia="Gill Sans MT" w:hAnsi="Gill Sans MT" w:cs="Gill Sans MT"/>
          <w:u w:color="000000"/>
        </w:rPr>
      </w:pPr>
    </w:p>
    <w:p w14:paraId="512BBE13" w14:textId="77777777"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De extra kosten voor het vervangen van de auto- en huissloten zijn niet gedekt op grond van de Voorwaarden. Consument heeft onvoldoende aangetoond dat deze kosten wel onder de verzekeringsdekking zouden vallen. Volgens de Commissie heeft Verzekeraar de kosten hiervoor mogen weigeren uit te keren.</w:t>
      </w:r>
    </w:p>
    <w:p w14:paraId="1627C3FC" w14:textId="77777777" w:rsidR="00C23534" w:rsidRPr="00C23534" w:rsidRDefault="00C23534" w:rsidP="00C23534">
      <w:pPr>
        <w:overflowPunct w:val="0"/>
        <w:spacing w:line="276" w:lineRule="auto"/>
        <w:ind w:left="792"/>
        <w:rPr>
          <w:rFonts w:ascii="Gill Sans MT" w:eastAsia="Gill Sans MT" w:hAnsi="Gill Sans MT" w:cs="Gill Sans MT"/>
          <w:u w:color="000000"/>
        </w:rPr>
      </w:pPr>
    </w:p>
    <w:p w14:paraId="0E964F4D" w14:textId="77777777"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 xml:space="preserve">Verzekeraar heeft in zijn dupliek gereageerd op het punt van de onkosten gemaakt voor het noodgedwongen verblijf in een hotel op de dag van de diefstal. Verzekeraar heeft meegedeeld dat hij deze kosten zou uitkeren alsmede het bedrag dat de gestolen koffer zelf vertegenwoordigt. Op dit punt zal Commissie zich verder onthouden van haar oordeel. </w:t>
      </w:r>
    </w:p>
    <w:p w14:paraId="376CEBA7" w14:textId="77777777" w:rsidR="00C23534" w:rsidRPr="00C23534" w:rsidRDefault="00C23534" w:rsidP="00C23534">
      <w:pPr>
        <w:overflowPunct w:val="0"/>
        <w:spacing w:line="276" w:lineRule="auto"/>
        <w:rPr>
          <w:rFonts w:ascii="Gill Sans MT" w:eastAsia="Gill Sans MT" w:hAnsi="Gill Sans MT" w:cs="Gill Sans MT"/>
          <w:u w:color="000000"/>
        </w:rPr>
      </w:pPr>
    </w:p>
    <w:p w14:paraId="689945B9" w14:textId="4CE72C51" w:rsidR="00C23534" w:rsidRPr="00C23534" w:rsidRDefault="00C23534" w:rsidP="00C23534">
      <w:pPr>
        <w:numPr>
          <w:ilvl w:val="1"/>
          <w:numId w:val="13"/>
        </w:numPr>
        <w:overflowPunct w:val="0"/>
        <w:spacing w:line="276" w:lineRule="auto"/>
        <w:rPr>
          <w:rFonts w:ascii="Gill Sans MT" w:eastAsia="Gill Sans MT" w:hAnsi="Gill Sans MT" w:cs="Gill Sans MT"/>
          <w:u w:color="000000"/>
        </w:rPr>
      </w:pPr>
      <w:r w:rsidRPr="00C23534">
        <w:rPr>
          <w:rFonts w:ascii="Gill Sans MT" w:eastAsia="Gill Sans MT" w:hAnsi="Gill Sans MT" w:cs="Gill Sans MT"/>
          <w:u w:color="000000"/>
        </w:rPr>
        <w:t>De Commissie wijst de vordering van Consument af nu het de Commissie is gebleken dat op grond van de Voorwaarden er geen uitkeringsplicht voor Verzekeraar bestaat. Het is daardoor komen vast te staan dat Verzekeraar niet toerekenbaar is tekortgeschoten en uitkering heeft mogen weigeren.</w:t>
      </w:r>
    </w:p>
    <w:p w14:paraId="5B14C52A" w14:textId="77777777" w:rsidR="00C23534" w:rsidRPr="00C23534" w:rsidRDefault="00C23534" w:rsidP="00C23534">
      <w:pPr>
        <w:overflowPunct w:val="0"/>
        <w:spacing w:line="276" w:lineRule="auto"/>
        <w:rPr>
          <w:rFonts w:ascii="Gill Sans MT" w:eastAsia="Calibri" w:hAnsi="Gill Sans MT" w:cs="Calibri"/>
          <w:szCs w:val="22"/>
        </w:rPr>
      </w:pPr>
    </w:p>
    <w:p w14:paraId="46DCB8DE" w14:textId="77777777" w:rsidR="00C23534" w:rsidRPr="00C23534" w:rsidRDefault="00C23534" w:rsidP="00C23534">
      <w:pPr>
        <w:numPr>
          <w:ilvl w:val="0"/>
          <w:numId w:val="13"/>
        </w:numPr>
        <w:overflowPunct w:val="0"/>
        <w:spacing w:line="276" w:lineRule="auto"/>
        <w:rPr>
          <w:rFonts w:ascii="Gill Sans MT" w:eastAsia="Gill Sans MT" w:hAnsi="Gill Sans MT" w:cs="Gill Sans MT"/>
          <w:b/>
          <w:bCs/>
          <w:u w:color="000000"/>
        </w:rPr>
      </w:pPr>
      <w:r w:rsidRPr="00C23534">
        <w:rPr>
          <w:rFonts w:ascii="Gill Sans MT" w:eastAsia="Gill Sans MT" w:hAnsi="Gill Sans MT" w:cs="Gill Sans MT"/>
          <w:b/>
          <w:bCs/>
          <w:u w:color="000000"/>
        </w:rPr>
        <w:t>Beslissing</w:t>
      </w:r>
    </w:p>
    <w:p w14:paraId="1CAD09F9" w14:textId="77777777" w:rsidR="00C23534" w:rsidRPr="00C23534" w:rsidRDefault="00C23534" w:rsidP="00C23534">
      <w:pPr>
        <w:overflowPunct w:val="0"/>
        <w:spacing w:line="276" w:lineRule="auto"/>
        <w:rPr>
          <w:rFonts w:ascii="Gill Sans MT" w:eastAsia="Calibri" w:hAnsi="Gill Sans MT" w:cs="Calibri"/>
          <w:szCs w:val="22"/>
        </w:rPr>
      </w:pPr>
    </w:p>
    <w:p w14:paraId="35644975" w14:textId="77777777" w:rsidR="00C23534" w:rsidRPr="00C23534" w:rsidRDefault="00C23534" w:rsidP="00C23534">
      <w:pPr>
        <w:overflowPunct w:val="0"/>
        <w:spacing w:line="276" w:lineRule="auto"/>
        <w:rPr>
          <w:rFonts w:ascii="Gill Sans MT" w:eastAsia="Calibri" w:hAnsi="Gill Sans MT" w:cs="Calibri"/>
          <w:szCs w:val="22"/>
        </w:rPr>
      </w:pPr>
      <w:r w:rsidRPr="00C23534">
        <w:rPr>
          <w:rFonts w:ascii="Gill Sans MT" w:eastAsia="Calibri" w:hAnsi="Gill Sans MT" w:cs="Calibri"/>
          <w:szCs w:val="22"/>
        </w:rPr>
        <w:t>De Commissie wijst de vordering af.</w:t>
      </w:r>
    </w:p>
    <w:p w14:paraId="6362E997" w14:textId="77777777" w:rsidR="00C23534" w:rsidRPr="00C23534" w:rsidRDefault="00C23534" w:rsidP="00C23534">
      <w:pPr>
        <w:overflowPunct w:val="0"/>
        <w:spacing w:line="276" w:lineRule="auto"/>
        <w:rPr>
          <w:rFonts w:ascii="Gill Sans MT" w:eastAsia="Calibri" w:hAnsi="Gill Sans MT" w:cs="Calibri"/>
          <w:szCs w:val="22"/>
        </w:rPr>
      </w:pPr>
    </w:p>
    <w:p w14:paraId="593BF2FE" w14:textId="77777777" w:rsidR="00C23534" w:rsidRPr="00C23534" w:rsidRDefault="00C23534" w:rsidP="00C23534">
      <w:pPr>
        <w:overflowPunct w:val="0"/>
        <w:spacing w:line="276" w:lineRule="auto"/>
        <w:rPr>
          <w:rFonts w:ascii="Gill Sans MT" w:eastAsia="Calibri" w:hAnsi="Gill Sans MT" w:cs="Calibri"/>
          <w:i/>
          <w:iCs/>
          <w:sz w:val="20"/>
          <w:szCs w:val="20"/>
        </w:rPr>
      </w:pPr>
      <w:r w:rsidRPr="00C23534">
        <w:rPr>
          <w:rFonts w:ascii="Gill Sans MT" w:eastAsia="Calibri" w:hAnsi="Gill Sans MT" w:cs="Calibri"/>
          <w:i/>
          <w:iCs/>
          <w:sz w:val="20"/>
          <w:szCs w:val="20"/>
        </w:rPr>
        <w:lastRenderedPageBreak/>
        <w:t>De uitspraak heeft de vorm van een niet-bindend advies. Tegen deze uitspraak staat geen hoger beroep open bij de Commissie van Beroep Financiële Dienstverlening. U kunt de zaak nog wel aan de rechter voorleggen.</w:t>
      </w:r>
    </w:p>
    <w:p w14:paraId="6BE5DC34" w14:textId="77777777" w:rsidR="00C23534" w:rsidRPr="00C23534" w:rsidRDefault="00C23534" w:rsidP="00C23534">
      <w:pPr>
        <w:overflowPunct w:val="0"/>
        <w:spacing w:line="276" w:lineRule="auto"/>
        <w:rPr>
          <w:rFonts w:ascii="Gill Sans MT" w:eastAsia="Calibri" w:hAnsi="Gill Sans MT" w:cs="Calibri"/>
          <w:i/>
          <w:iCs/>
          <w:sz w:val="20"/>
          <w:szCs w:val="20"/>
        </w:rPr>
      </w:pPr>
    </w:p>
    <w:p w14:paraId="6C3DA03D" w14:textId="77777777" w:rsidR="00C23534" w:rsidRPr="00C23534" w:rsidRDefault="00C23534" w:rsidP="00C23534">
      <w:pPr>
        <w:overflowPunct w:val="0"/>
        <w:spacing w:line="276" w:lineRule="auto"/>
        <w:rPr>
          <w:rFonts w:ascii="Gill Sans MT" w:eastAsia="Calibri" w:hAnsi="Gill Sans MT" w:cs="Calibri"/>
          <w:szCs w:val="22"/>
        </w:rPr>
      </w:pPr>
      <w:r w:rsidRPr="00C23534">
        <w:rPr>
          <w:rFonts w:ascii="Gill Sans MT" w:eastAsia="Calibri" w:hAnsi="Gill Sans MT" w:cs="Calibri"/>
          <w:i/>
          <w:iCs/>
          <w:sz w:val="20"/>
          <w:szCs w:val="20"/>
        </w:rPr>
        <w:t>U kunt, binnen twee weken na de verzenddatum van deze uitspraak, bij de Voorzitter van de Geschillencommissie Financiële Dienstverlening schriftelijk een verzoek indienen tot herstel van kennelijke vergissingen in de uitspraak. U moet daarbij met name denken aan correctie van reken- of schrijffouten en verbetering van namen en data. De volledige procedure met de termijnen die daarbij in acht moeten worden genomen staat beschreven in artikel 40 van het Reglement.</w:t>
      </w:r>
    </w:p>
    <w:p w14:paraId="13392CFD" w14:textId="77777777" w:rsidR="00C23534" w:rsidRPr="00C23534" w:rsidRDefault="00C23534" w:rsidP="00C23534">
      <w:pPr>
        <w:overflowPunct w:val="0"/>
        <w:spacing w:line="276" w:lineRule="auto"/>
        <w:rPr>
          <w:rFonts w:ascii="Gill Sans MT" w:eastAsia="Calibri" w:hAnsi="Gill Sans MT" w:cs="Calibri"/>
          <w:szCs w:val="22"/>
        </w:rPr>
      </w:pPr>
    </w:p>
    <w:p w14:paraId="137F9DE2" w14:textId="77777777" w:rsidR="00C23534" w:rsidRPr="00C23534" w:rsidRDefault="00C23534" w:rsidP="00C23534">
      <w:pPr>
        <w:overflowPunct w:val="0"/>
        <w:rPr>
          <w:rFonts w:ascii="Gill Sans MT" w:eastAsia="Calibri" w:hAnsi="Gill Sans MT" w:cs="Calibri"/>
          <w:szCs w:val="22"/>
        </w:rPr>
      </w:pPr>
    </w:p>
    <w:p w14:paraId="3DF61806" w14:textId="77777777" w:rsidR="00500A8D" w:rsidRPr="003C703E" w:rsidRDefault="00500A8D" w:rsidP="007E675C"/>
    <w:sectPr w:rsidR="00500A8D" w:rsidRPr="003C703E" w:rsidSect="00500A8D">
      <w:headerReference w:type="default" r:id="rId7"/>
      <w:headerReference w:type="first" r:id="rId8"/>
      <w:pgSz w:w="11900" w:h="16840"/>
      <w:pgMar w:top="2552" w:right="1134"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FF905" w14:textId="77777777" w:rsidR="00B71839" w:rsidRDefault="00B71839" w:rsidP="00B71839">
      <w:r>
        <w:separator/>
      </w:r>
    </w:p>
  </w:endnote>
  <w:endnote w:type="continuationSeparator" w:id="0">
    <w:p w14:paraId="6E4A2783" w14:textId="77777777" w:rsidR="00B71839" w:rsidRDefault="00B71839" w:rsidP="00B7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48309" w14:textId="77777777" w:rsidR="00B71839" w:rsidRDefault="00B71839" w:rsidP="00B71839">
      <w:r>
        <w:separator/>
      </w:r>
    </w:p>
  </w:footnote>
  <w:footnote w:type="continuationSeparator" w:id="0">
    <w:p w14:paraId="2A1C47BB" w14:textId="77777777" w:rsidR="00B71839" w:rsidRDefault="00B71839" w:rsidP="00B7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D5BE" w14:textId="77777777" w:rsidR="0022337C" w:rsidRDefault="00500A8D">
    <w:pPr>
      <w:pStyle w:val="Koptekst"/>
    </w:pPr>
    <w:r w:rsidRPr="00500A8D">
      <w:rPr>
        <w:noProof/>
        <w:lang w:eastAsia="nl-NL"/>
      </w:rPr>
      <w:drawing>
        <wp:anchor distT="0" distB="0" distL="114300" distR="114300" simplePos="0" relativeHeight="251659264" behindDoc="1" locked="0" layoutInCell="1" allowOverlap="1" wp14:anchorId="4B4C9651" wp14:editId="542F90C5">
          <wp:simplePos x="0" y="0"/>
          <wp:positionH relativeFrom="page">
            <wp:posOffset>0</wp:posOffset>
          </wp:positionH>
          <wp:positionV relativeFrom="page">
            <wp:posOffset>0</wp:posOffset>
          </wp:positionV>
          <wp:extent cx="7559675" cy="1549400"/>
          <wp:effectExtent l="25400" t="0" r="9525" b="0"/>
          <wp:wrapNone/>
          <wp:docPr id="1" name="Afbeelding 1" descr="KiFiD_VOLG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FiD_VOLGPAPIER.png"/>
                  <pic:cNvPicPr/>
                </pic:nvPicPr>
                <pic:blipFill>
                  <a:blip r:embed="rId1"/>
                  <a:stretch>
                    <a:fillRect/>
                  </a:stretch>
                </pic:blipFill>
                <pic:spPr>
                  <a:xfrm>
                    <a:off x="0" y="0"/>
                    <a:ext cx="7559675" cy="1549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3729" w14:textId="77777777" w:rsidR="00500A8D" w:rsidRDefault="00500A8D">
    <w:pPr>
      <w:pStyle w:val="Koptekst"/>
    </w:pPr>
    <w:r>
      <w:rPr>
        <w:noProof/>
        <w:lang w:eastAsia="nl-NL"/>
      </w:rPr>
      <w:drawing>
        <wp:anchor distT="0" distB="0" distL="114300" distR="114300" simplePos="0" relativeHeight="251660288" behindDoc="1" locked="0" layoutInCell="1" allowOverlap="1" wp14:anchorId="3FD1AC42" wp14:editId="69CA3FE2">
          <wp:simplePos x="0" y="0"/>
          <wp:positionH relativeFrom="page">
            <wp:posOffset>0</wp:posOffset>
          </wp:positionH>
          <wp:positionV relativeFrom="page">
            <wp:posOffset>0</wp:posOffset>
          </wp:positionV>
          <wp:extent cx="7562215" cy="10693400"/>
          <wp:effectExtent l="25400" t="0" r="6985" b="0"/>
          <wp:wrapNone/>
          <wp:docPr id="3" name="Afbeelding 3" descr=":KI0609513_BRIEF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0609513_BRIEFPAPIER.png"/>
                  <pic:cNvPicPr>
                    <a:picLocks noChangeAspect="1" noChangeArrowheads="1"/>
                  </pic:cNvPicPr>
                </pic:nvPicPr>
                <pic:blipFill>
                  <a:blip r:embed="rId1"/>
                  <a:srcRect/>
                  <a:stretch>
                    <a:fillRect/>
                  </a:stretch>
                </pic:blipFill>
                <pic:spPr bwMode="auto">
                  <a:xfrm>
                    <a:off x="0" y="0"/>
                    <a:ext cx="7562215" cy="1069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37F4"/>
    <w:multiLevelType w:val="hybridMultilevel"/>
    <w:tmpl w:val="AC4438EE"/>
    <w:styleLink w:val="ImportedStyle4"/>
    <w:lvl w:ilvl="0" w:tplc="826255C6">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02D272">
      <w:start w:val="1"/>
      <w:numFmt w:val="bullet"/>
      <w:lvlText w:val="o"/>
      <w:lvlJc w:val="left"/>
      <w:pPr>
        <w:ind w:left="113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009D56">
      <w:start w:val="1"/>
      <w:numFmt w:val="bullet"/>
      <w:lvlText w:val="▪"/>
      <w:lvlJc w:val="left"/>
      <w:pPr>
        <w:ind w:left="170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42CB44">
      <w:start w:val="1"/>
      <w:numFmt w:val="bullet"/>
      <w:lvlText w:val="·"/>
      <w:lvlJc w:val="left"/>
      <w:pPr>
        <w:ind w:left="2268"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B836E2">
      <w:start w:val="1"/>
      <w:numFmt w:val="bullet"/>
      <w:lvlText w:val="o"/>
      <w:lvlJc w:val="left"/>
      <w:pPr>
        <w:ind w:left="2835"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FAC3A6">
      <w:start w:val="1"/>
      <w:numFmt w:val="bullet"/>
      <w:lvlText w:val="▪"/>
      <w:lvlJc w:val="left"/>
      <w:pPr>
        <w:ind w:left="3402"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54309C">
      <w:start w:val="1"/>
      <w:numFmt w:val="bullet"/>
      <w:lvlText w:val="·"/>
      <w:lvlJc w:val="left"/>
      <w:pPr>
        <w:ind w:left="3969"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7230E8">
      <w:start w:val="1"/>
      <w:numFmt w:val="bullet"/>
      <w:lvlText w:val="o"/>
      <w:lvlJc w:val="left"/>
      <w:pPr>
        <w:ind w:left="4536"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34A58E">
      <w:start w:val="1"/>
      <w:numFmt w:val="bullet"/>
      <w:lvlText w:val="▪"/>
      <w:lvlJc w:val="left"/>
      <w:pPr>
        <w:ind w:left="5103"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B4045E"/>
    <w:multiLevelType w:val="multilevel"/>
    <w:tmpl w:val="53BE0432"/>
    <w:lvl w:ilvl="0">
      <w:start w:val="1"/>
      <w:numFmt w:val="bullet"/>
      <w:lvlText w:val="·"/>
      <w:lvlJc w:val="left"/>
      <w:pPr>
        <w:ind w:left="567" w:hanging="567"/>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134" w:hanging="567"/>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1701" w:hanging="567"/>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268" w:hanging="567"/>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2835" w:hanging="567"/>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3402" w:hanging="567"/>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3969" w:hanging="567"/>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ind w:left="4536" w:hanging="567"/>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5103" w:hanging="567"/>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1F32259"/>
    <w:multiLevelType w:val="hybridMultilevel"/>
    <w:tmpl w:val="D8F4830A"/>
    <w:styleLink w:val="ImportedStyle3"/>
    <w:lvl w:ilvl="0" w:tplc="8B92E692">
      <w:start w:val="1"/>
      <w:numFmt w:val="bullet"/>
      <w:lvlText w:val="·"/>
      <w:lvlJc w:val="left"/>
      <w:pPr>
        <w:ind w:left="567" w:hanging="56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1AAC502">
      <w:start w:val="1"/>
      <w:numFmt w:val="bullet"/>
      <w:lvlText w:val="o"/>
      <w:lvlJc w:val="left"/>
      <w:pPr>
        <w:ind w:left="1134"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E6463D0">
      <w:start w:val="1"/>
      <w:numFmt w:val="bullet"/>
      <w:lvlText w:val="▪"/>
      <w:lvlJc w:val="left"/>
      <w:pPr>
        <w:ind w:left="1701"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872121E">
      <w:start w:val="1"/>
      <w:numFmt w:val="bullet"/>
      <w:lvlText w:val="·"/>
      <w:lvlJc w:val="left"/>
      <w:pPr>
        <w:ind w:left="2268" w:hanging="56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F7A0902">
      <w:start w:val="1"/>
      <w:numFmt w:val="bullet"/>
      <w:lvlText w:val="o"/>
      <w:lvlJc w:val="left"/>
      <w:pPr>
        <w:ind w:left="2835"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5F23872">
      <w:start w:val="1"/>
      <w:numFmt w:val="bullet"/>
      <w:lvlText w:val="▪"/>
      <w:lvlJc w:val="left"/>
      <w:pPr>
        <w:ind w:left="3402"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49CE386">
      <w:start w:val="1"/>
      <w:numFmt w:val="bullet"/>
      <w:lvlText w:val="·"/>
      <w:lvlJc w:val="left"/>
      <w:pPr>
        <w:ind w:left="3969" w:hanging="56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A38A76C">
      <w:start w:val="1"/>
      <w:numFmt w:val="bullet"/>
      <w:lvlText w:val="o"/>
      <w:lvlJc w:val="left"/>
      <w:pPr>
        <w:ind w:left="4536"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8FCBC7C">
      <w:start w:val="1"/>
      <w:numFmt w:val="bullet"/>
      <w:lvlText w:val="▪"/>
      <w:lvlJc w:val="left"/>
      <w:pPr>
        <w:ind w:left="5103"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3E66E64"/>
    <w:multiLevelType w:val="multilevel"/>
    <w:tmpl w:val="1660C15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B67BC"/>
    <w:multiLevelType w:val="multilevel"/>
    <w:tmpl w:val="B554DD7A"/>
    <w:lvl w:ilvl="0">
      <w:start w:val="1"/>
      <w:numFmt w:val="bullet"/>
      <w:lvlText w:val="·"/>
      <w:lvlJc w:val="left"/>
      <w:pPr>
        <w:ind w:left="567" w:hanging="567"/>
      </w:pPr>
      <w:rPr>
        <w:rFonts w:ascii="Symbol" w:hAnsi="Symbol" w:cs="Symbol"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ind w:left="1134"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ind w:left="1701"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ind w:left="2268" w:hanging="567"/>
      </w:pPr>
      <w:rPr>
        <w:rFonts w:ascii="Symbol" w:hAnsi="Symbol" w:cs="Symbol"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lvlText w:val="o"/>
      <w:lvlJc w:val="left"/>
      <w:pPr>
        <w:ind w:left="2835"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lvlText w:val="▪"/>
      <w:lvlJc w:val="left"/>
      <w:pPr>
        <w:ind w:left="3402"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pPr>
        <w:ind w:left="3969" w:hanging="567"/>
      </w:pPr>
      <w:rPr>
        <w:rFonts w:ascii="Symbol" w:hAnsi="Symbol" w:cs="Symbol"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bullet"/>
      <w:lvlText w:val="o"/>
      <w:lvlJc w:val="left"/>
      <w:pPr>
        <w:ind w:left="4536"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bullet"/>
      <w:lvlText w:val="▪"/>
      <w:lvlJc w:val="left"/>
      <w:pPr>
        <w:ind w:left="5103"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35DA3705"/>
    <w:multiLevelType w:val="hybridMultilevel"/>
    <w:tmpl w:val="94B2EBE8"/>
    <w:lvl w:ilvl="0" w:tplc="D9C620FA">
      <w:start w:val="3"/>
      <w:numFmt w:val="bullet"/>
      <w:lvlText w:val="-"/>
      <w:lvlJc w:val="left"/>
      <w:pPr>
        <w:ind w:left="927" w:hanging="360"/>
      </w:pPr>
      <w:rPr>
        <w:rFonts w:ascii="Gill Sans MT" w:eastAsia="Gill Sans MT" w:hAnsi="Gill Sans MT" w:cs="Gill Sans MT" w:hint="default"/>
        <w:i w:val="0"/>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 w15:restartNumberingAfterBreak="0">
    <w:nsid w:val="3F7C2B04"/>
    <w:multiLevelType w:val="hybridMultilevel"/>
    <w:tmpl w:val="048E0DA0"/>
    <w:styleLink w:val="ImportedStyle5"/>
    <w:lvl w:ilvl="0" w:tplc="F5FE9744">
      <w:start w:val="1"/>
      <w:numFmt w:val="bullet"/>
      <w:lvlText w:val="·"/>
      <w:lvlJc w:val="left"/>
      <w:pPr>
        <w:ind w:left="567" w:hanging="56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210708A">
      <w:start w:val="1"/>
      <w:numFmt w:val="bullet"/>
      <w:lvlText w:val="o"/>
      <w:lvlJc w:val="left"/>
      <w:pPr>
        <w:ind w:left="1134"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04431B2">
      <w:start w:val="1"/>
      <w:numFmt w:val="bullet"/>
      <w:lvlText w:val="▪"/>
      <w:lvlJc w:val="left"/>
      <w:pPr>
        <w:ind w:left="1701"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ECE115E">
      <w:start w:val="1"/>
      <w:numFmt w:val="bullet"/>
      <w:lvlText w:val="·"/>
      <w:lvlJc w:val="left"/>
      <w:pPr>
        <w:ind w:left="2268" w:hanging="56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874C6E4">
      <w:start w:val="1"/>
      <w:numFmt w:val="bullet"/>
      <w:lvlText w:val="o"/>
      <w:lvlJc w:val="left"/>
      <w:pPr>
        <w:ind w:left="2835"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DA61CD6">
      <w:start w:val="1"/>
      <w:numFmt w:val="bullet"/>
      <w:lvlText w:val="▪"/>
      <w:lvlJc w:val="left"/>
      <w:pPr>
        <w:ind w:left="3402"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6C8FB4C">
      <w:start w:val="1"/>
      <w:numFmt w:val="bullet"/>
      <w:lvlText w:val="·"/>
      <w:lvlJc w:val="left"/>
      <w:pPr>
        <w:ind w:left="3969" w:hanging="56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ABEAE6A">
      <w:start w:val="1"/>
      <w:numFmt w:val="bullet"/>
      <w:lvlText w:val="o"/>
      <w:lvlJc w:val="left"/>
      <w:pPr>
        <w:ind w:left="4536"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73CA520">
      <w:start w:val="1"/>
      <w:numFmt w:val="bullet"/>
      <w:lvlText w:val="▪"/>
      <w:lvlJc w:val="left"/>
      <w:pPr>
        <w:ind w:left="5103"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3F8C2FB4"/>
    <w:multiLevelType w:val="multilevel"/>
    <w:tmpl w:val="A3822588"/>
    <w:lvl w:ilvl="0">
      <w:start w:val="1"/>
      <w:numFmt w:val="bullet"/>
      <w:lvlText w:val="·"/>
      <w:lvlJc w:val="left"/>
      <w:pPr>
        <w:ind w:left="567" w:hanging="567"/>
      </w:pPr>
      <w:rPr>
        <w:rFonts w:ascii="Symbol" w:hAnsi="Symbol" w:cs="Symbol"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ind w:left="1134"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ind w:left="1701"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ind w:left="2268" w:hanging="567"/>
      </w:pPr>
      <w:rPr>
        <w:rFonts w:ascii="Symbol" w:hAnsi="Symbol" w:cs="Symbol"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lvlText w:val="o"/>
      <w:lvlJc w:val="left"/>
      <w:pPr>
        <w:ind w:left="2835"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lvlText w:val="▪"/>
      <w:lvlJc w:val="left"/>
      <w:pPr>
        <w:ind w:left="3402"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pPr>
        <w:ind w:left="3969" w:hanging="567"/>
      </w:pPr>
      <w:rPr>
        <w:rFonts w:ascii="Symbol" w:hAnsi="Symbol" w:cs="Symbol"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bullet"/>
      <w:lvlText w:val="o"/>
      <w:lvlJc w:val="left"/>
      <w:pPr>
        <w:ind w:left="4536"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bullet"/>
      <w:lvlText w:val="▪"/>
      <w:lvlJc w:val="left"/>
      <w:pPr>
        <w:ind w:left="5103"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403208A4"/>
    <w:multiLevelType w:val="multilevel"/>
    <w:tmpl w:val="78025424"/>
    <w:lvl w:ilvl="0">
      <w:start w:val="1"/>
      <w:numFmt w:val="bullet"/>
      <w:lvlText w:val="·"/>
      <w:lvlJc w:val="left"/>
      <w:pPr>
        <w:ind w:left="567" w:hanging="567"/>
      </w:pPr>
      <w:rPr>
        <w:rFonts w:ascii="Symbol" w:hAnsi="Symbol" w:cs="Symbol"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ind w:left="1134"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ind w:left="1701"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ind w:left="2268" w:hanging="567"/>
      </w:pPr>
      <w:rPr>
        <w:rFonts w:ascii="Symbol" w:hAnsi="Symbol" w:cs="Symbol"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lvlText w:val="o"/>
      <w:lvlJc w:val="left"/>
      <w:pPr>
        <w:ind w:left="2835"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lvlText w:val="▪"/>
      <w:lvlJc w:val="left"/>
      <w:pPr>
        <w:ind w:left="3402"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pPr>
        <w:ind w:left="3969" w:hanging="567"/>
      </w:pPr>
      <w:rPr>
        <w:rFonts w:ascii="Symbol" w:hAnsi="Symbol" w:cs="Symbol"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bullet"/>
      <w:lvlText w:val="o"/>
      <w:lvlJc w:val="left"/>
      <w:pPr>
        <w:ind w:left="4536"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bullet"/>
      <w:lvlText w:val="▪"/>
      <w:lvlJc w:val="left"/>
      <w:pPr>
        <w:ind w:left="5103" w:hanging="567"/>
      </w:pPr>
      <w:rPr>
        <w:rFonts w:ascii="Arial Unicode MS" w:hAnsi="Arial Unicode MS" w:cs="Arial Unicode MS" w:hint="default"/>
        <w:b w:val="0"/>
        <w:bCs w:val="0"/>
        <w:i w:val="0"/>
        <w:iCs w:val="0"/>
        <w:caps w:val="0"/>
        <w:smallCaps w:val="0"/>
        <w:strike w:val="0"/>
        <w:dstrike w:val="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54237F25"/>
    <w:multiLevelType w:val="hybridMultilevel"/>
    <w:tmpl w:val="F42604AC"/>
    <w:lvl w:ilvl="0" w:tplc="E5E06E6E">
      <w:numFmt w:val="bullet"/>
      <w:lvlText w:val="-"/>
      <w:lvlJc w:val="left"/>
      <w:pPr>
        <w:ind w:left="1152" w:hanging="360"/>
      </w:pPr>
      <w:rPr>
        <w:rFonts w:ascii="Gill Sans MT" w:eastAsia="Gill Sans MT" w:hAnsi="Gill Sans MT" w:cs="Gill Sans MT" w:hint="default"/>
      </w:rPr>
    </w:lvl>
    <w:lvl w:ilvl="1" w:tplc="04130003">
      <w:start w:val="1"/>
      <w:numFmt w:val="bullet"/>
      <w:lvlText w:val="o"/>
      <w:lvlJc w:val="left"/>
      <w:pPr>
        <w:ind w:left="1872" w:hanging="360"/>
      </w:pPr>
      <w:rPr>
        <w:rFonts w:ascii="Courier New" w:hAnsi="Courier New" w:cs="Courier New" w:hint="default"/>
      </w:rPr>
    </w:lvl>
    <w:lvl w:ilvl="2" w:tplc="04130005">
      <w:start w:val="1"/>
      <w:numFmt w:val="bullet"/>
      <w:lvlText w:val=""/>
      <w:lvlJc w:val="left"/>
      <w:pPr>
        <w:ind w:left="2592" w:hanging="360"/>
      </w:pPr>
      <w:rPr>
        <w:rFonts w:ascii="Wingdings" w:hAnsi="Wingdings" w:hint="default"/>
      </w:rPr>
    </w:lvl>
    <w:lvl w:ilvl="3" w:tplc="04130001">
      <w:start w:val="1"/>
      <w:numFmt w:val="bullet"/>
      <w:lvlText w:val=""/>
      <w:lvlJc w:val="left"/>
      <w:pPr>
        <w:ind w:left="3312" w:hanging="360"/>
      </w:pPr>
      <w:rPr>
        <w:rFonts w:ascii="Symbol" w:hAnsi="Symbol" w:hint="default"/>
      </w:rPr>
    </w:lvl>
    <w:lvl w:ilvl="4" w:tplc="04130003">
      <w:start w:val="1"/>
      <w:numFmt w:val="bullet"/>
      <w:lvlText w:val="o"/>
      <w:lvlJc w:val="left"/>
      <w:pPr>
        <w:ind w:left="4032" w:hanging="360"/>
      </w:pPr>
      <w:rPr>
        <w:rFonts w:ascii="Courier New" w:hAnsi="Courier New" w:cs="Courier New" w:hint="default"/>
      </w:rPr>
    </w:lvl>
    <w:lvl w:ilvl="5" w:tplc="04130005">
      <w:start w:val="1"/>
      <w:numFmt w:val="bullet"/>
      <w:lvlText w:val=""/>
      <w:lvlJc w:val="left"/>
      <w:pPr>
        <w:ind w:left="4752" w:hanging="360"/>
      </w:pPr>
      <w:rPr>
        <w:rFonts w:ascii="Wingdings" w:hAnsi="Wingdings" w:hint="default"/>
      </w:rPr>
    </w:lvl>
    <w:lvl w:ilvl="6" w:tplc="04130001">
      <w:start w:val="1"/>
      <w:numFmt w:val="bullet"/>
      <w:lvlText w:val=""/>
      <w:lvlJc w:val="left"/>
      <w:pPr>
        <w:ind w:left="5472" w:hanging="360"/>
      </w:pPr>
      <w:rPr>
        <w:rFonts w:ascii="Symbol" w:hAnsi="Symbol" w:hint="default"/>
      </w:rPr>
    </w:lvl>
    <w:lvl w:ilvl="7" w:tplc="04130003">
      <w:start w:val="1"/>
      <w:numFmt w:val="bullet"/>
      <w:lvlText w:val="o"/>
      <w:lvlJc w:val="left"/>
      <w:pPr>
        <w:ind w:left="6192" w:hanging="360"/>
      </w:pPr>
      <w:rPr>
        <w:rFonts w:ascii="Courier New" w:hAnsi="Courier New" w:cs="Courier New" w:hint="default"/>
      </w:rPr>
    </w:lvl>
    <w:lvl w:ilvl="8" w:tplc="04130005">
      <w:start w:val="1"/>
      <w:numFmt w:val="bullet"/>
      <w:lvlText w:val=""/>
      <w:lvlJc w:val="left"/>
      <w:pPr>
        <w:ind w:left="6912" w:hanging="360"/>
      </w:pPr>
      <w:rPr>
        <w:rFonts w:ascii="Wingdings" w:hAnsi="Wingdings" w:hint="default"/>
      </w:rPr>
    </w:lvl>
  </w:abstractNum>
  <w:abstractNum w:abstractNumId="10" w15:restartNumberingAfterBreak="0">
    <w:nsid w:val="5F5A471C"/>
    <w:multiLevelType w:val="hybridMultilevel"/>
    <w:tmpl w:val="7A662CDC"/>
    <w:styleLink w:val="ImportedStyle2"/>
    <w:lvl w:ilvl="0" w:tplc="65BAF96E">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C66F30">
      <w:start w:val="1"/>
      <w:numFmt w:val="bullet"/>
      <w:lvlText w:val="o"/>
      <w:lvlJc w:val="left"/>
      <w:pPr>
        <w:ind w:left="113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DEB85C">
      <w:start w:val="1"/>
      <w:numFmt w:val="bullet"/>
      <w:lvlText w:val="▪"/>
      <w:lvlJc w:val="left"/>
      <w:pPr>
        <w:ind w:left="170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FA39CE">
      <w:start w:val="1"/>
      <w:numFmt w:val="bullet"/>
      <w:lvlText w:val="·"/>
      <w:lvlJc w:val="left"/>
      <w:pPr>
        <w:ind w:left="2268"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C80692">
      <w:start w:val="1"/>
      <w:numFmt w:val="bullet"/>
      <w:lvlText w:val="o"/>
      <w:lvlJc w:val="left"/>
      <w:pPr>
        <w:ind w:left="2835"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DC46A4">
      <w:start w:val="1"/>
      <w:numFmt w:val="bullet"/>
      <w:lvlText w:val="▪"/>
      <w:lvlJc w:val="left"/>
      <w:pPr>
        <w:ind w:left="3402"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446E46">
      <w:start w:val="1"/>
      <w:numFmt w:val="bullet"/>
      <w:lvlText w:val="·"/>
      <w:lvlJc w:val="left"/>
      <w:pPr>
        <w:ind w:left="3969"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8EC060">
      <w:start w:val="1"/>
      <w:numFmt w:val="bullet"/>
      <w:lvlText w:val="o"/>
      <w:lvlJc w:val="left"/>
      <w:pPr>
        <w:ind w:left="4536"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624F4A">
      <w:start w:val="1"/>
      <w:numFmt w:val="bullet"/>
      <w:lvlText w:val="▪"/>
      <w:lvlJc w:val="left"/>
      <w:pPr>
        <w:ind w:left="5103"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D84F99"/>
    <w:multiLevelType w:val="hybridMultilevel"/>
    <w:tmpl w:val="6074BCAE"/>
    <w:lvl w:ilvl="0" w:tplc="4EF4603C">
      <w:start w:val="2"/>
      <w:numFmt w:val="bullet"/>
      <w:lvlText w:val="-"/>
      <w:lvlJc w:val="left"/>
      <w:pPr>
        <w:ind w:left="1152" w:hanging="360"/>
      </w:pPr>
      <w:rPr>
        <w:rFonts w:ascii="Gill Sans MT" w:eastAsia="Gill Sans MT" w:hAnsi="Gill Sans MT" w:cs="Gill Sans MT" w:hint="default"/>
        <w:i/>
      </w:rPr>
    </w:lvl>
    <w:lvl w:ilvl="1" w:tplc="04130003">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12" w15:restartNumberingAfterBreak="0">
    <w:nsid w:val="74DB5004"/>
    <w:multiLevelType w:val="hybridMultilevel"/>
    <w:tmpl w:val="4524F56A"/>
    <w:lvl w:ilvl="0" w:tplc="6BDC49A2">
      <w:start w:val="19"/>
      <w:numFmt w:val="bullet"/>
      <w:lvlText w:val="-"/>
      <w:lvlJc w:val="left"/>
      <w:pPr>
        <w:ind w:left="1152" w:hanging="360"/>
      </w:pPr>
      <w:rPr>
        <w:rFonts w:ascii="Gill Sans MT" w:eastAsia="Gill Sans MT" w:hAnsi="Gill Sans MT" w:cs="Gill Sans MT"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num w:numId="1">
    <w:abstractNumId w:val="10"/>
  </w:num>
  <w:num w:numId="2">
    <w:abstractNumId w:val="0"/>
  </w:num>
  <w:num w:numId="3">
    <w:abstractNumId w:val="2"/>
  </w:num>
  <w:num w:numId="4">
    <w:abstractNumId w:val="6"/>
  </w:num>
  <w:num w:numId="5">
    <w:abstractNumId w:val="8"/>
  </w:num>
  <w:num w:numId="6">
    <w:abstractNumId w:val="4"/>
  </w:num>
  <w:num w:numId="7">
    <w:abstractNumId w:val="3"/>
  </w:num>
  <w:num w:numId="8">
    <w:abstractNumId w:val="1"/>
  </w:num>
  <w:num w:numId="9">
    <w:abstractNumId w:val="5"/>
  </w:num>
  <w:num w:numId="10">
    <w:abstractNumId w:val="7"/>
  </w:num>
  <w:num w:numId="11">
    <w:abstractNumId w:val="12"/>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7C"/>
    <w:rsid w:val="000038AF"/>
    <w:rsid w:val="00041EE0"/>
    <w:rsid w:val="00077BD3"/>
    <w:rsid w:val="000B28A0"/>
    <w:rsid w:val="000F1A2D"/>
    <w:rsid w:val="00102444"/>
    <w:rsid w:val="001163C3"/>
    <w:rsid w:val="00160417"/>
    <w:rsid w:val="00187931"/>
    <w:rsid w:val="001E4089"/>
    <w:rsid w:val="001E4A8C"/>
    <w:rsid w:val="001F3D1C"/>
    <w:rsid w:val="0022337C"/>
    <w:rsid w:val="002421CA"/>
    <w:rsid w:val="002529B8"/>
    <w:rsid w:val="00264EC6"/>
    <w:rsid w:val="00273FD2"/>
    <w:rsid w:val="00277B54"/>
    <w:rsid w:val="002925FB"/>
    <w:rsid w:val="003500B2"/>
    <w:rsid w:val="00352FA2"/>
    <w:rsid w:val="003626BC"/>
    <w:rsid w:val="003877F3"/>
    <w:rsid w:val="003B588E"/>
    <w:rsid w:val="003C703E"/>
    <w:rsid w:val="00421762"/>
    <w:rsid w:val="00435226"/>
    <w:rsid w:val="0045532F"/>
    <w:rsid w:val="00480606"/>
    <w:rsid w:val="004A0775"/>
    <w:rsid w:val="004A3A35"/>
    <w:rsid w:val="00500A8D"/>
    <w:rsid w:val="00507EB2"/>
    <w:rsid w:val="005125B6"/>
    <w:rsid w:val="00545F07"/>
    <w:rsid w:val="00571656"/>
    <w:rsid w:val="0058224C"/>
    <w:rsid w:val="005C1D9B"/>
    <w:rsid w:val="005E176B"/>
    <w:rsid w:val="006052E5"/>
    <w:rsid w:val="00615D42"/>
    <w:rsid w:val="0066062B"/>
    <w:rsid w:val="00672708"/>
    <w:rsid w:val="00673D7A"/>
    <w:rsid w:val="006B0981"/>
    <w:rsid w:val="00714A62"/>
    <w:rsid w:val="00723FDC"/>
    <w:rsid w:val="0077554A"/>
    <w:rsid w:val="007958D9"/>
    <w:rsid w:val="007E675C"/>
    <w:rsid w:val="0082721E"/>
    <w:rsid w:val="0083455F"/>
    <w:rsid w:val="008A4E4F"/>
    <w:rsid w:val="008B4322"/>
    <w:rsid w:val="008D1BCA"/>
    <w:rsid w:val="00914E79"/>
    <w:rsid w:val="00930792"/>
    <w:rsid w:val="009B1C7D"/>
    <w:rsid w:val="009C421C"/>
    <w:rsid w:val="009D306E"/>
    <w:rsid w:val="009F1D5A"/>
    <w:rsid w:val="00A019DF"/>
    <w:rsid w:val="00A070D7"/>
    <w:rsid w:val="00A24DA0"/>
    <w:rsid w:val="00A34050"/>
    <w:rsid w:val="00A353A7"/>
    <w:rsid w:val="00A54EFD"/>
    <w:rsid w:val="00A96FA7"/>
    <w:rsid w:val="00AE2BEA"/>
    <w:rsid w:val="00AE6E8A"/>
    <w:rsid w:val="00AF2521"/>
    <w:rsid w:val="00B2357E"/>
    <w:rsid w:val="00B71839"/>
    <w:rsid w:val="00BA0FE3"/>
    <w:rsid w:val="00BC6D9E"/>
    <w:rsid w:val="00BD55D8"/>
    <w:rsid w:val="00C15256"/>
    <w:rsid w:val="00C23534"/>
    <w:rsid w:val="00C549C5"/>
    <w:rsid w:val="00C54C66"/>
    <w:rsid w:val="00C63AE5"/>
    <w:rsid w:val="00C71D27"/>
    <w:rsid w:val="00C73662"/>
    <w:rsid w:val="00C80F43"/>
    <w:rsid w:val="00C90236"/>
    <w:rsid w:val="00CA6A14"/>
    <w:rsid w:val="00CD2430"/>
    <w:rsid w:val="00CD4606"/>
    <w:rsid w:val="00CF6257"/>
    <w:rsid w:val="00D205ED"/>
    <w:rsid w:val="00D231B3"/>
    <w:rsid w:val="00D40C37"/>
    <w:rsid w:val="00D5184A"/>
    <w:rsid w:val="00D57870"/>
    <w:rsid w:val="00D71BF0"/>
    <w:rsid w:val="00DB3CA5"/>
    <w:rsid w:val="00DE0FD2"/>
    <w:rsid w:val="00E1792E"/>
    <w:rsid w:val="00E258EA"/>
    <w:rsid w:val="00EB4F76"/>
    <w:rsid w:val="00ED32A6"/>
    <w:rsid w:val="00F13B20"/>
    <w:rsid w:val="00F55016"/>
    <w:rsid w:val="00F61497"/>
    <w:rsid w:val="00F851CE"/>
    <w:rsid w:val="00FC2E6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81C01D"/>
  <w15:docId w15:val="{EA4FF0CC-BC26-4027-9CD9-CC8D1481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7279"/>
    <w:rPr>
      <w:sz w:val="24"/>
      <w:szCs w:val="24"/>
    </w:rPr>
  </w:style>
  <w:style w:type="paragraph" w:styleId="Kop1">
    <w:name w:val="heading 1"/>
    <w:aliases w:val="Kop 1 (titel)"/>
    <w:basedOn w:val="Standaard"/>
    <w:next w:val="Standaard"/>
    <w:link w:val="Kop1Char"/>
    <w:rsid w:val="00EA609E"/>
    <w:pPr>
      <w:keepNext/>
      <w:keepLines/>
      <w:spacing w:before="480"/>
      <w:outlineLvl w:val="0"/>
    </w:pPr>
    <w:rPr>
      <w:rFonts w:ascii="Trebuchet MS" w:eastAsiaTheme="majorEastAsia" w:hAnsi="Trebuchet MS" w:cstheme="majorBidi"/>
      <w:bCs/>
      <w:color w:val="FFFFFF" w:themeColor="background1"/>
      <w:sz w:val="44"/>
      <w:szCs w:val="32"/>
    </w:rPr>
  </w:style>
  <w:style w:type="paragraph" w:styleId="Kop2">
    <w:name w:val="heading 2"/>
    <w:aliases w:val="Kop 2 (subtitel)"/>
    <w:basedOn w:val="Kop1"/>
    <w:next w:val="Standaard"/>
    <w:link w:val="Kop2Char"/>
    <w:rsid w:val="00EA609E"/>
    <w:pPr>
      <w:spacing w:before="160"/>
      <w:outlineLvl w:val="1"/>
    </w:pPr>
    <w:rPr>
      <w:bCs w:val="0"/>
      <w:sz w:val="28"/>
      <w:szCs w:val="26"/>
    </w:rPr>
  </w:style>
  <w:style w:type="paragraph" w:styleId="Kop3">
    <w:name w:val="heading 3"/>
    <w:aliases w:val="Kop 3 (Programma)"/>
    <w:basedOn w:val="Standaard"/>
    <w:next w:val="Standaard"/>
    <w:link w:val="Kop3Char"/>
    <w:rsid w:val="00EA609E"/>
    <w:pPr>
      <w:keepNext/>
      <w:keepLines/>
      <w:spacing w:before="40"/>
      <w:outlineLvl w:val="2"/>
    </w:pPr>
    <w:rPr>
      <w:rFonts w:ascii="Trebuchet MS" w:eastAsiaTheme="majorEastAsia" w:hAnsi="Trebuchet MS" w:cstheme="majorBidi"/>
      <w:bCs/>
      <w:color w:val="7F7F7F" w:themeColor="text1" w:themeTint="8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D07AA1"/>
    <w:rPr>
      <w:rFonts w:ascii="Lucida Grande" w:hAnsi="Lucida Grande"/>
      <w:sz w:val="18"/>
      <w:szCs w:val="18"/>
    </w:rPr>
  </w:style>
  <w:style w:type="paragraph" w:customStyle="1" w:styleId="INHOUDSOPGAVE">
    <w:name w:val="INHOUDSOPGAVE"/>
    <w:basedOn w:val="Standaard"/>
    <w:qFormat/>
    <w:rsid w:val="00853424"/>
    <w:rPr>
      <w:rFonts w:ascii="Trebuchet MS" w:eastAsia="Times New Roman" w:hAnsi="Trebuchet MS" w:cs="Times New Roman"/>
      <w:noProof/>
      <w:color w:val="FF6600"/>
      <w:sz w:val="28"/>
      <w:szCs w:val="28"/>
    </w:rPr>
  </w:style>
  <w:style w:type="paragraph" w:customStyle="1" w:styleId="-Inhoudhoofdstukniv3">
    <w:name w:val="- Inhoud hoofdstuk niv. 3"/>
    <w:basedOn w:val="Inhopg2"/>
    <w:qFormat/>
    <w:rsid w:val="00853424"/>
    <w:pPr>
      <w:tabs>
        <w:tab w:val="left" w:pos="1276"/>
        <w:tab w:val="right" w:leader="dot" w:pos="8297"/>
      </w:tabs>
      <w:spacing w:after="0"/>
      <w:ind w:left="600" w:firstLine="120"/>
    </w:pPr>
    <w:rPr>
      <w:rFonts w:ascii="Trebuchet MS" w:eastAsia="Times New Roman" w:hAnsi="Trebuchet MS" w:cs="Times New Roman"/>
      <w:noProof/>
      <w:color w:val="000000"/>
      <w:sz w:val="18"/>
    </w:rPr>
  </w:style>
  <w:style w:type="paragraph" w:styleId="Inhopg2">
    <w:name w:val="toc 2"/>
    <w:basedOn w:val="Standaard"/>
    <w:next w:val="Standaard"/>
    <w:autoRedefine/>
    <w:uiPriority w:val="39"/>
    <w:semiHidden/>
    <w:unhideWhenUsed/>
    <w:rsid w:val="00853424"/>
    <w:pPr>
      <w:spacing w:after="100"/>
      <w:ind w:left="240"/>
    </w:pPr>
  </w:style>
  <w:style w:type="paragraph" w:customStyle="1" w:styleId="Hoofdstukniv3">
    <w:name w:val="Hoofdstuk niv. 3"/>
    <w:basedOn w:val="Standaard"/>
    <w:qFormat/>
    <w:rsid w:val="00853424"/>
    <w:pPr>
      <w:tabs>
        <w:tab w:val="left" w:pos="709"/>
        <w:tab w:val="right" w:pos="8647"/>
      </w:tabs>
      <w:spacing w:before="120" w:after="120"/>
    </w:pPr>
    <w:rPr>
      <w:rFonts w:ascii="Trebuchet MS" w:eastAsia="Times New Roman" w:hAnsi="Trebuchet MS" w:cs="Times New Roman"/>
      <w:i/>
      <w:sz w:val="20"/>
      <w:szCs w:val="20"/>
    </w:rPr>
  </w:style>
  <w:style w:type="character" w:customStyle="1" w:styleId="Kop1Char">
    <w:name w:val="Kop 1 Char"/>
    <w:aliases w:val="Kop 1 (titel) Char"/>
    <w:basedOn w:val="Standaardalinea-lettertype"/>
    <w:link w:val="Kop1"/>
    <w:rsid w:val="00EA609E"/>
    <w:rPr>
      <w:rFonts w:ascii="Trebuchet MS" w:eastAsiaTheme="majorEastAsia" w:hAnsi="Trebuchet MS" w:cstheme="majorBidi"/>
      <w:bCs/>
      <w:color w:val="FFFFFF" w:themeColor="background1"/>
      <w:sz w:val="44"/>
      <w:szCs w:val="32"/>
    </w:rPr>
  </w:style>
  <w:style w:type="character" w:customStyle="1" w:styleId="Kop3Char">
    <w:name w:val="Kop 3 Char"/>
    <w:aliases w:val="Kop 3 (Programma) Char"/>
    <w:basedOn w:val="Standaardalinea-lettertype"/>
    <w:link w:val="Kop3"/>
    <w:rsid w:val="00EA609E"/>
    <w:rPr>
      <w:rFonts w:ascii="Trebuchet MS" w:eastAsiaTheme="majorEastAsia" w:hAnsi="Trebuchet MS" w:cstheme="majorBidi"/>
      <w:bCs/>
      <w:color w:val="7F7F7F" w:themeColor="text1" w:themeTint="80"/>
    </w:rPr>
  </w:style>
  <w:style w:type="character" w:customStyle="1" w:styleId="Kop2Char">
    <w:name w:val="Kop 2 Char"/>
    <w:aliases w:val="Kop 2 (subtitel) Char"/>
    <w:basedOn w:val="Standaardalinea-lettertype"/>
    <w:link w:val="Kop2"/>
    <w:rsid w:val="00EA609E"/>
    <w:rPr>
      <w:rFonts w:ascii="Trebuchet MS" w:eastAsiaTheme="majorEastAsia" w:hAnsi="Trebuchet MS" w:cstheme="majorBidi"/>
      <w:color w:val="FFFFFF" w:themeColor="background1"/>
      <w:sz w:val="28"/>
      <w:szCs w:val="26"/>
    </w:rPr>
  </w:style>
  <w:style w:type="paragraph" w:styleId="Koptekst">
    <w:name w:val="header"/>
    <w:basedOn w:val="Standaard"/>
    <w:link w:val="KoptekstChar"/>
    <w:uiPriority w:val="99"/>
    <w:unhideWhenUsed/>
    <w:rsid w:val="0022337C"/>
    <w:pPr>
      <w:tabs>
        <w:tab w:val="center" w:pos="4536"/>
        <w:tab w:val="right" w:pos="9072"/>
      </w:tabs>
    </w:pPr>
  </w:style>
  <w:style w:type="character" w:customStyle="1" w:styleId="KoptekstChar">
    <w:name w:val="Koptekst Char"/>
    <w:basedOn w:val="Standaardalinea-lettertype"/>
    <w:link w:val="Koptekst"/>
    <w:uiPriority w:val="99"/>
    <w:rsid w:val="0022337C"/>
    <w:rPr>
      <w:sz w:val="24"/>
      <w:szCs w:val="24"/>
    </w:rPr>
  </w:style>
  <w:style w:type="paragraph" w:styleId="Voettekst">
    <w:name w:val="footer"/>
    <w:basedOn w:val="Standaard"/>
    <w:link w:val="VoettekstChar"/>
    <w:uiPriority w:val="99"/>
    <w:unhideWhenUsed/>
    <w:rsid w:val="0022337C"/>
    <w:pPr>
      <w:tabs>
        <w:tab w:val="center" w:pos="4536"/>
        <w:tab w:val="right" w:pos="9072"/>
      </w:tabs>
    </w:pPr>
  </w:style>
  <w:style w:type="character" w:customStyle="1" w:styleId="VoettekstChar">
    <w:name w:val="Voettekst Char"/>
    <w:basedOn w:val="Standaardalinea-lettertype"/>
    <w:link w:val="Voettekst"/>
    <w:uiPriority w:val="99"/>
    <w:rsid w:val="0022337C"/>
    <w:rPr>
      <w:sz w:val="24"/>
      <w:szCs w:val="24"/>
    </w:rPr>
  </w:style>
  <w:style w:type="paragraph" w:styleId="Geenafstand">
    <w:name w:val="No Spacing"/>
    <w:qFormat/>
    <w:rsid w:val="00421762"/>
    <w:rPr>
      <w:rFonts w:ascii="Gill Sans MT" w:eastAsia="Calibri" w:hAnsi="Gill Sans MT" w:cs="Times New Roman"/>
      <w:sz w:val="24"/>
      <w:szCs w:val="22"/>
    </w:rPr>
  </w:style>
  <w:style w:type="paragraph" w:styleId="Lijstalinea">
    <w:name w:val="List Paragraph"/>
    <w:basedOn w:val="Standaard"/>
    <w:qFormat/>
    <w:rsid w:val="00F851CE"/>
    <w:pPr>
      <w:contextualSpacing/>
    </w:pPr>
    <w:rPr>
      <w:rFonts w:ascii="Gill Sans MT" w:hAnsi="Gill Sans MT"/>
      <w:szCs w:val="22"/>
    </w:rPr>
  </w:style>
  <w:style w:type="table" w:styleId="Tabelraster">
    <w:name w:val="Table Grid"/>
    <w:basedOn w:val="Standaardtabel"/>
    <w:uiPriority w:val="39"/>
    <w:rsid w:val="00F851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2">
    <w:name w:val="Imported Style 2"/>
    <w:rsid w:val="00D40C37"/>
    <w:pPr>
      <w:numPr>
        <w:numId w:val="1"/>
      </w:numPr>
    </w:pPr>
  </w:style>
  <w:style w:type="numbering" w:customStyle="1" w:styleId="ImportedStyle4">
    <w:name w:val="Imported Style 4"/>
    <w:rsid w:val="00D40C37"/>
    <w:pPr>
      <w:numPr>
        <w:numId w:val="2"/>
      </w:numPr>
    </w:pPr>
  </w:style>
  <w:style w:type="table" w:customStyle="1" w:styleId="Tabelraster1">
    <w:name w:val="Tabelraster1"/>
    <w:basedOn w:val="Standaardtabel"/>
    <w:next w:val="Tabelraster"/>
    <w:uiPriority w:val="39"/>
    <w:rsid w:val="00D40C37"/>
    <w:pPr>
      <w:pBdr>
        <w:top w:val="nil"/>
        <w:left w:val="nil"/>
        <w:bottom w:val="nil"/>
        <w:right w:val="nil"/>
        <w:between w:val="nil"/>
        <w:bar w:val="nil"/>
      </w:pBdr>
    </w:pPr>
    <w:rPr>
      <w:rFonts w:ascii="Times New Roman" w:eastAsia="Arial Unicode MS" w:hAnsi="Times New Roman" w:cs="Times New Roman"/>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21">
    <w:name w:val="Imported Style 21"/>
    <w:rsid w:val="00C549C5"/>
  </w:style>
  <w:style w:type="numbering" w:customStyle="1" w:styleId="ImportedStyle3">
    <w:name w:val="Imported Style 3"/>
    <w:rsid w:val="00C549C5"/>
    <w:pPr>
      <w:numPr>
        <w:numId w:val="3"/>
      </w:numPr>
    </w:pPr>
  </w:style>
  <w:style w:type="numbering" w:customStyle="1" w:styleId="ImportedStyle41">
    <w:name w:val="Imported Style 41"/>
    <w:rsid w:val="00C549C5"/>
  </w:style>
  <w:style w:type="numbering" w:customStyle="1" w:styleId="ImportedStyle5">
    <w:name w:val="Imported Style 5"/>
    <w:rsid w:val="00C549C5"/>
    <w:pPr>
      <w:numPr>
        <w:numId w:val="4"/>
      </w:numPr>
    </w:pPr>
  </w:style>
  <w:style w:type="table" w:customStyle="1" w:styleId="Tabelraster2">
    <w:name w:val="Tabelraster2"/>
    <w:basedOn w:val="Standaardtabel"/>
    <w:next w:val="Tabelraster"/>
    <w:uiPriority w:val="39"/>
    <w:rsid w:val="00C549C5"/>
    <w:pPr>
      <w:pBdr>
        <w:top w:val="nil"/>
        <w:left w:val="nil"/>
        <w:bottom w:val="nil"/>
        <w:right w:val="nil"/>
        <w:between w:val="nil"/>
        <w:bar w:val="nil"/>
      </w:pBdr>
    </w:pPr>
    <w:rPr>
      <w:rFonts w:ascii="Times New Roman" w:eastAsia="Arial Unicode MS" w:hAnsi="Times New Roman" w:cs="Times New Roman"/>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22">
    <w:name w:val="Imported Style 22"/>
    <w:rsid w:val="00AF2521"/>
  </w:style>
  <w:style w:type="numbering" w:customStyle="1" w:styleId="ImportedStyle31">
    <w:name w:val="Imported Style 31"/>
    <w:rsid w:val="00AF2521"/>
  </w:style>
  <w:style w:type="numbering" w:customStyle="1" w:styleId="ImportedStyle42">
    <w:name w:val="Imported Style 42"/>
    <w:rsid w:val="00AF2521"/>
  </w:style>
  <w:style w:type="numbering" w:customStyle="1" w:styleId="ImportedStyle51">
    <w:name w:val="Imported Style 51"/>
    <w:rsid w:val="00AF2521"/>
  </w:style>
  <w:style w:type="table" w:customStyle="1" w:styleId="Tabelraster3">
    <w:name w:val="Tabelraster3"/>
    <w:basedOn w:val="Standaardtabel"/>
    <w:next w:val="Tabelraster"/>
    <w:uiPriority w:val="39"/>
    <w:rsid w:val="00AF2521"/>
    <w:pPr>
      <w:pBdr>
        <w:top w:val="nil"/>
        <w:left w:val="nil"/>
        <w:bottom w:val="nil"/>
        <w:right w:val="nil"/>
        <w:between w:val="nil"/>
        <w:bar w:val="nil"/>
      </w:pBdr>
    </w:pPr>
    <w:rPr>
      <w:rFonts w:ascii="Times New Roman" w:eastAsia="Arial Unicode MS" w:hAnsi="Times New Roman" w:cs="Times New Roman"/>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6052E5"/>
    <w:rPr>
      <w:rFonts w:ascii="Liberation Serif" w:eastAsia="SimSun" w:hAnsi="Liberation Serif" w:cs="Lucida Sans"/>
      <w:kern w:val="2"/>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BC6D9E"/>
    <w:rPr>
      <w:rFonts w:ascii="Liberation Serif" w:eastAsia="SimSun" w:hAnsi="Liberation Serif" w:cs="Lucida Sans"/>
      <w:kern w:val="2"/>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3B588E"/>
    <w:rPr>
      <w:rFonts w:ascii="Liberation Serif" w:eastAsia="SimSun" w:hAnsi="Liberation Serif" w:cs="Lucida Sans"/>
      <w:kern w:val="2"/>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ED32A6"/>
    <w:rPr>
      <w:rFonts w:ascii="Liberation Serif" w:eastAsia="SimSun" w:hAnsi="Liberation Serif" w:cs="Lucida Sans"/>
      <w:kern w:val="2"/>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070D7"/>
    <w:rPr>
      <w:rFonts w:ascii="Liberation Serif" w:eastAsia="SimSun" w:hAnsi="Liberation Serif" w:cs="Lucida Sans"/>
      <w:kern w:val="2"/>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CD2430"/>
    <w:rPr>
      <w:rFonts w:ascii="Liberation Serif" w:eastAsia="SimSun" w:hAnsi="Liberation Serif" w:cs="Lucida Sans"/>
      <w:kern w:val="2"/>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45532F"/>
    <w:rPr>
      <w:rFonts w:ascii="Liberation Serif" w:eastAsia="SimSun" w:hAnsi="Liberation Serif" w:cs="Lucida Sans"/>
      <w:kern w:val="2"/>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35226"/>
    <w:pPr>
      <w:spacing w:before="100" w:beforeAutospacing="1" w:after="100" w:afterAutospacing="1"/>
    </w:pPr>
    <w:rPr>
      <w:rFonts w:ascii="Times New Roman" w:eastAsia="Times New Roman" w:hAnsi="Times New Roman" w:cs="Times New Roman"/>
      <w:lang w:eastAsia="nl-NL"/>
    </w:rPr>
  </w:style>
  <w:style w:type="table" w:customStyle="1" w:styleId="Tabelraster11">
    <w:name w:val="Tabelraster11"/>
    <w:basedOn w:val="Standaardtabel"/>
    <w:next w:val="Tabelraster"/>
    <w:uiPriority w:val="39"/>
    <w:rsid w:val="00A019DF"/>
    <w:rPr>
      <w:rFonts w:ascii="Liberation Serif" w:eastAsia="SimSun" w:hAnsi="Liberation Serif" w:cs="Lucida Sans"/>
      <w:kern w:val="2"/>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C23534"/>
    <w:rPr>
      <w:rFonts w:ascii="Liberation Serif" w:eastAsia="SimSun" w:hAnsi="Liberation Serif" w:cs="Lucida Sans"/>
      <w:kern w:val="2"/>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291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7416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KEY Agency</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van Haasteren</dc:creator>
  <cp:lastModifiedBy>Bhoelai, Angela</cp:lastModifiedBy>
  <cp:revision>2</cp:revision>
  <dcterms:created xsi:type="dcterms:W3CDTF">2019-07-26T08:26:00Z</dcterms:created>
  <dcterms:modified xsi:type="dcterms:W3CDTF">2019-07-26T08:26:00Z</dcterms:modified>
</cp:coreProperties>
</file>